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77777777"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77777777" w:rsidR="007814B6" w:rsidRPr="00F00D94" w:rsidRDefault="007814B6" w:rsidP="00F13178">
            <w:pPr>
              <w:rPr>
                <w:rFonts w:ascii="Arial" w:hAnsi="Arial" w:cs="Arial"/>
                <w:b/>
              </w:rPr>
            </w:pPr>
            <w:r w:rsidRPr="00F00D94">
              <w:rPr>
                <w:rFonts w:ascii="Arial" w:hAnsi="Arial" w:cs="Arial"/>
                <w:b/>
              </w:rPr>
              <w:t>FEDERAL AWARD NAME:</w:t>
            </w:r>
          </w:p>
        </w:tc>
        <w:tc>
          <w:tcPr>
            <w:tcW w:w="3440" w:type="pct"/>
          </w:tcPr>
          <w:p w14:paraId="3B525937" w14:textId="3E7E4584" w:rsidR="007814B6" w:rsidRPr="00F00D94" w:rsidRDefault="00522D09" w:rsidP="006672EA">
            <w:pPr>
              <w:jc w:val="both"/>
              <w:rPr>
                <w:rFonts w:ascii="Arial" w:hAnsi="Arial" w:cs="Arial"/>
              </w:rPr>
            </w:pPr>
            <w:r>
              <w:rPr>
                <w:rFonts w:ascii="Arial" w:hAnsi="Arial" w:cs="Arial"/>
              </w:rPr>
              <w:t>Coronavirus State and Local Fiscal Recovery Funds</w:t>
            </w:r>
          </w:p>
        </w:tc>
      </w:tr>
      <w:tr w:rsidR="007814B6" w:rsidRPr="00F00D94" w14:paraId="202C7631" w14:textId="77777777" w:rsidTr="00F13178">
        <w:tc>
          <w:tcPr>
            <w:tcW w:w="1560" w:type="pct"/>
            <w:shd w:val="clear" w:color="auto" w:fill="DBE5F1"/>
          </w:tcPr>
          <w:p w14:paraId="5788BDE3" w14:textId="5FCC2150" w:rsidR="007814B6" w:rsidRPr="00F00D94" w:rsidRDefault="00105E07" w:rsidP="006672EA">
            <w:pPr>
              <w:jc w:val="both"/>
              <w:rPr>
                <w:rFonts w:ascii="Arial" w:hAnsi="Arial" w:cs="Arial"/>
                <w:b/>
              </w:rPr>
            </w:pPr>
            <w:r w:rsidRPr="00F00D94">
              <w:rPr>
                <w:rFonts w:ascii="Arial" w:hAnsi="Arial" w:cs="Arial"/>
                <w:b/>
              </w:rPr>
              <w:t>AL</w:t>
            </w:r>
            <w:r w:rsidR="007814B6" w:rsidRPr="00F00D94">
              <w:rPr>
                <w:rFonts w:ascii="Arial" w:hAnsi="Arial" w:cs="Arial"/>
                <w:b/>
              </w:rPr>
              <w:t>#:</w:t>
            </w:r>
          </w:p>
        </w:tc>
        <w:tc>
          <w:tcPr>
            <w:tcW w:w="3440" w:type="pct"/>
          </w:tcPr>
          <w:p w14:paraId="33E981FC" w14:textId="4AA8F134" w:rsidR="007814B6" w:rsidRPr="00F00D94" w:rsidRDefault="00522D09" w:rsidP="006672EA">
            <w:pPr>
              <w:jc w:val="both"/>
              <w:rPr>
                <w:rFonts w:ascii="Arial" w:hAnsi="Arial" w:cs="Arial"/>
              </w:rPr>
            </w:pPr>
            <w:r>
              <w:rPr>
                <w:rFonts w:ascii="Arial" w:hAnsi="Arial" w:cs="Arial"/>
              </w:rPr>
              <w:t>21.027</w:t>
            </w: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737F09">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737F09">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737F09">
      <w:pPr>
        <w:numPr>
          <w:ilvl w:val="0"/>
          <w:numId w:val="41"/>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737F09">
      <w:pPr>
        <w:numPr>
          <w:ilvl w:val="0"/>
          <w:numId w:val="41"/>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737F09">
      <w:pPr>
        <w:numPr>
          <w:ilvl w:val="0"/>
          <w:numId w:val="41"/>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737F09">
      <w:pPr>
        <w:numPr>
          <w:ilvl w:val="1"/>
          <w:numId w:val="41"/>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737F09">
      <w:pPr>
        <w:numPr>
          <w:ilvl w:val="1"/>
          <w:numId w:val="41"/>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737F09">
      <w:pPr>
        <w:numPr>
          <w:ilvl w:val="1"/>
          <w:numId w:val="41"/>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737F09">
      <w:pPr>
        <w:numPr>
          <w:ilvl w:val="1"/>
          <w:numId w:val="41"/>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737F09">
      <w:pPr>
        <w:numPr>
          <w:ilvl w:val="1"/>
          <w:numId w:val="41"/>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737F09">
      <w:pPr>
        <w:numPr>
          <w:ilvl w:val="0"/>
          <w:numId w:val="41"/>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15942588"/>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470CCBC3" w14:textId="4F662A0A" w:rsidR="007814B6" w:rsidRPr="00F00D94" w:rsidRDefault="00721387"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This </w:t>
      </w:r>
      <w:r w:rsidR="00522D09">
        <w:rPr>
          <w:rFonts w:ascii="Arial" w:hAnsi="Arial" w:cs="Arial"/>
          <w:b/>
          <w:color w:val="FF0000"/>
          <w:sz w:val="28"/>
          <w:szCs w:val="28"/>
          <w:u w:val="single"/>
        </w:rPr>
        <w:t>FACCR</w:t>
      </w:r>
      <w:r w:rsidR="00522D09" w:rsidRPr="00F00D94">
        <w:rPr>
          <w:rFonts w:ascii="Arial" w:hAnsi="Arial" w:cs="Arial"/>
          <w:b/>
          <w:color w:val="FF0000"/>
          <w:sz w:val="28"/>
          <w:szCs w:val="28"/>
          <w:u w:val="single"/>
        </w:rPr>
        <w:t xml:space="preserve"> </w:t>
      </w:r>
      <w:r w:rsidRPr="00F00D94">
        <w:rPr>
          <w:rFonts w:ascii="Arial" w:hAnsi="Arial" w:cs="Arial"/>
          <w:b/>
          <w:color w:val="FF0000"/>
          <w:sz w:val="28"/>
          <w:szCs w:val="28"/>
          <w:u w:val="single"/>
        </w:rPr>
        <w:t>has been tailored for local governments</w:t>
      </w:r>
      <w:r w:rsidR="003000F2" w:rsidRPr="00F00D94">
        <w:rPr>
          <w:rFonts w:ascii="Arial" w:hAnsi="Arial" w:cs="Arial"/>
          <w:b/>
          <w:color w:val="FF0000"/>
          <w:sz w:val="28"/>
          <w:szCs w:val="28"/>
          <w:u w:val="single"/>
        </w:rPr>
        <w:t xml:space="preserve"> and Not-For</w:t>
      </w:r>
      <w:r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Pr="00F00D94">
        <w:rPr>
          <w:rFonts w:ascii="Arial" w:hAnsi="Arial" w:cs="Arial"/>
          <w:b/>
          <w:color w:val="FF0000"/>
          <w:sz w:val="28"/>
          <w:szCs w:val="28"/>
          <w:u w:val="single"/>
        </w:rPr>
        <w:t>references and testing for Institutes of Higher Learning or State organizations.</w:t>
      </w:r>
    </w:p>
    <w:p w14:paraId="12F8E66B" w14:textId="1D67A18B" w:rsidR="00216FD6" w:rsidRPr="00F00D94" w:rsidRDefault="00E02569"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P</w:t>
      </w:r>
      <w:r w:rsidR="00216FD6" w:rsidRPr="00F00D94">
        <w:rPr>
          <w:rFonts w:ascii="Arial" w:hAnsi="Arial" w:cs="Arial"/>
          <w:b/>
          <w:color w:val="FF0000"/>
          <w:sz w:val="28"/>
          <w:szCs w:val="28"/>
          <w:u w:val="single"/>
        </w:rPr>
        <w:t xml:space="preserve">lease refer to the terms and conditions of the grant to determine if any additional requirements were imposed. If additional material requirements are identified, auditors will need to create procedures to test those requirements. If you have questions, AOS Auditors please open a Spiceworks ticket for assistance (IPAs email </w:t>
      </w:r>
      <w:hyperlink r:id="rId11" w:history="1">
        <w:r w:rsidR="00F64428" w:rsidRPr="006C24E0">
          <w:rPr>
            <w:rStyle w:val="Hyperlink"/>
            <w:rFonts w:ascii="Arial" w:hAnsi="Arial" w:cs="Arial"/>
            <w:b/>
            <w:sz w:val="28"/>
            <w:szCs w:val="28"/>
          </w:rPr>
          <w:t>AOSFederal@ohioauditor.gov</w:t>
        </w:r>
      </w:hyperlink>
      <w:r w:rsidR="00216FD6" w:rsidRPr="00F00D94">
        <w:rPr>
          <w:rFonts w:ascii="Arial" w:hAnsi="Arial" w:cs="Arial"/>
          <w:b/>
          <w:color w:val="FF0000"/>
          <w:sz w:val="28"/>
          <w:szCs w:val="28"/>
          <w:u w:val="single"/>
        </w:rPr>
        <w:t>).</w:t>
      </w:r>
    </w:p>
    <w:p w14:paraId="274E4F6D" w14:textId="2E782F31"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Also see guidance in </w:t>
      </w:r>
      <w:hyperlink r:id="rId12" w:history="1">
        <w:r w:rsidRPr="00F00D94">
          <w:rPr>
            <w:rStyle w:val="Hyperlink"/>
            <w:rFonts w:ascii="Arial" w:hAnsi="Arial" w:cs="Arial"/>
            <w:b/>
            <w:sz w:val="28"/>
            <w:szCs w:val="28"/>
          </w:rPr>
          <w:t>Appendix VII</w:t>
        </w:r>
      </w:hyperlink>
      <w:r w:rsidRPr="00F00D94">
        <w:rPr>
          <w:rFonts w:ascii="Arial" w:hAnsi="Arial" w:cs="Arial"/>
          <w:b/>
          <w:color w:val="FF0000"/>
          <w:sz w:val="28"/>
          <w:szCs w:val="28"/>
          <w:u w:val="single"/>
        </w:rPr>
        <w:t xml:space="preserve"> of the Compliance Supplement.</w:t>
      </w:r>
    </w:p>
    <w:p w14:paraId="4AC02FC1" w14:textId="77777777" w:rsidR="00FF0626" w:rsidRDefault="00FF0626" w:rsidP="00155515">
      <w:pPr>
        <w:spacing w:after="240"/>
        <w:jc w:val="both"/>
        <w:rPr>
          <w:rFonts w:ascii="Arial" w:hAnsi="Arial" w:cs="Arial"/>
          <w:b/>
          <w:color w:val="FF0000"/>
          <w:sz w:val="28"/>
          <w:szCs w:val="28"/>
          <w:u w:val="single"/>
        </w:rPr>
      </w:pPr>
    </w:p>
    <w:p w14:paraId="27A4A3EE" w14:textId="77777777" w:rsidR="00FF0626" w:rsidRDefault="00FF0626" w:rsidP="00155515">
      <w:pPr>
        <w:spacing w:after="240"/>
        <w:jc w:val="both"/>
        <w:rPr>
          <w:rFonts w:ascii="Arial" w:hAnsi="Arial" w:cs="Arial"/>
          <w:b/>
          <w:color w:val="FF0000"/>
          <w:sz w:val="28"/>
          <w:szCs w:val="28"/>
          <w:u w:val="single"/>
        </w:rPr>
      </w:pPr>
    </w:p>
    <w:p w14:paraId="68450F09"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lastRenderedPageBreak/>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FB001DE" w14:textId="40EBD904" w:rsidR="007814B6" w:rsidRPr="00F00D94" w:rsidRDefault="007814B6" w:rsidP="00155515">
      <w:pPr>
        <w:spacing w:after="240"/>
        <w:jc w:val="both"/>
        <w:rPr>
          <w:rFonts w:ascii="Arial" w:hAnsi="Arial" w:cs="Arial"/>
          <w:b/>
          <w:sz w:val="20"/>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p>
    <w:bookmarkEnd w:id="0"/>
    <w:p w14:paraId="608E9918" w14:textId="55551119" w:rsidR="00F20E18" w:rsidRPr="00F00D94"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F00D94" w:rsidRDefault="00805DDB" w:rsidP="00737F09">
      <w:pPr>
        <w:pStyle w:val="ListParagraph"/>
        <w:numPr>
          <w:ilvl w:val="1"/>
          <w:numId w:val="43"/>
        </w:numPr>
        <w:suppressAutoHyphens w:val="0"/>
        <w:autoSpaceDE/>
        <w:autoSpaceDN/>
        <w:adjustRightInd/>
        <w:spacing w:after="240"/>
        <w:jc w:val="both"/>
        <w:rPr>
          <w:rFonts w:ascii="Arial" w:hAnsi="Arial" w:cs="Arial"/>
          <w:b/>
          <w:color w:val="000000" w:themeColor="text1"/>
        </w:rPr>
        <w:sectPr w:rsidR="00805DDB" w:rsidRPr="00F00D94">
          <w:footerReference w:type="default" r:id="rId13"/>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15942589"/>
      <w:bookmarkEnd w:id="2"/>
      <w:r w:rsidRPr="00F00D94">
        <w:rPr>
          <w:rFonts w:cs="Arial"/>
        </w:rPr>
        <w:lastRenderedPageBreak/>
        <w:t>AGENCY ADOPTION OF THE UG AND EXAMPLE CITATIONS</w:t>
      </w:r>
      <w:bookmarkEnd w:id="3"/>
    </w:p>
    <w:p w14:paraId="1BF1424A" w14:textId="4A9B98BC"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r w:rsidRPr="00F00D94">
        <w:rPr>
          <w:rFonts w:ascii="Arial" w:hAnsi="Arial" w:cs="Arial"/>
          <w:bCs/>
          <w:sz w:val="20"/>
        </w:rPr>
        <w:t xml:space="preserve">HHS, USDA, DOT, EPA, DOL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are located in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4" w:history="1">
        <w:r w:rsidRPr="00F00D94">
          <w:rPr>
            <w:rStyle w:val="Hyperlink"/>
            <w:rFonts w:ascii="Arial" w:hAnsi="Arial" w:cs="Arial"/>
            <w:b/>
            <w:sz w:val="20"/>
          </w:rPr>
          <w:t>Appendix II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4C8AA53D"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15" w:history="1">
        <w:r w:rsidRPr="00F00D94">
          <w:rPr>
            <w:rStyle w:val="Hyperlink"/>
            <w:rFonts w:ascii="Arial" w:hAnsi="Arial" w:cs="Arial"/>
            <w:b/>
            <w:sz w:val="20"/>
          </w:rPr>
          <w:t xml:space="preserve">link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15942590"/>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276B89" w:rsidRDefault="00084EE0" w:rsidP="006672EA">
          <w:pPr>
            <w:pStyle w:val="TOCHeading"/>
            <w:jc w:val="both"/>
            <w:rPr>
              <w:rFonts w:ascii="Arial" w:hAnsi="Arial" w:cs="Arial"/>
              <w:sz w:val="20"/>
              <w:szCs w:val="20"/>
            </w:rPr>
          </w:pPr>
          <w:r w:rsidRPr="00276B89">
            <w:rPr>
              <w:rFonts w:ascii="Arial" w:hAnsi="Arial" w:cs="Arial"/>
              <w:sz w:val="20"/>
              <w:szCs w:val="20"/>
            </w:rPr>
            <w:t>Table of Contents</w:t>
          </w:r>
        </w:p>
        <w:p w14:paraId="7ADFEFEC" w14:textId="060B67D4" w:rsidR="00276B89" w:rsidRPr="00276B89" w:rsidRDefault="00084EE0">
          <w:pPr>
            <w:pStyle w:val="TOC1"/>
            <w:tabs>
              <w:tab w:val="right" w:leader="dot" w:pos="9350"/>
            </w:tabs>
            <w:rPr>
              <w:rFonts w:ascii="Arial" w:eastAsiaTheme="minorEastAsia" w:hAnsi="Arial" w:cs="Arial"/>
              <w:noProof/>
              <w:sz w:val="20"/>
            </w:rPr>
          </w:pPr>
          <w:r w:rsidRPr="00276B89">
            <w:rPr>
              <w:rFonts w:ascii="Arial" w:hAnsi="Arial" w:cs="Arial"/>
              <w:sz w:val="20"/>
            </w:rPr>
            <w:fldChar w:fldCharType="begin"/>
          </w:r>
          <w:r w:rsidRPr="00276B89">
            <w:rPr>
              <w:rFonts w:ascii="Arial" w:hAnsi="Arial" w:cs="Arial"/>
              <w:sz w:val="20"/>
            </w:rPr>
            <w:instrText xml:space="preserve"> TOC \o "1-3" \h \z \u </w:instrText>
          </w:r>
          <w:r w:rsidRPr="00276B89">
            <w:rPr>
              <w:rFonts w:ascii="Arial" w:hAnsi="Arial" w:cs="Arial"/>
              <w:sz w:val="20"/>
            </w:rPr>
            <w:fldChar w:fldCharType="separate"/>
          </w:r>
          <w:hyperlink w:anchor="_Toc115942588" w:history="1">
            <w:r w:rsidR="00276B89" w:rsidRPr="00276B89">
              <w:rPr>
                <w:rStyle w:val="Hyperlink"/>
                <w:rFonts w:ascii="Arial" w:hAnsi="Arial" w:cs="Arial"/>
                <w:noProof/>
                <w:sz w:val="20"/>
                <w:highlight w:val="yellow"/>
              </w:rPr>
              <w:t>Important Information</w:t>
            </w:r>
            <w:r w:rsidR="00276B89" w:rsidRPr="00276B89">
              <w:rPr>
                <w:rStyle w:val="Hyperlink"/>
                <w:rFonts w:ascii="Arial" w:hAnsi="Arial" w:cs="Arial"/>
                <w:noProof/>
                <w:sz w:val="20"/>
              </w:rPr>
              <w:t xml:space="preserve"> (please read)</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_Toc115942588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sidR="00EB1C72">
              <w:rPr>
                <w:rFonts w:ascii="Arial" w:hAnsi="Arial" w:cs="Arial"/>
                <w:noProof/>
                <w:webHidden/>
                <w:sz w:val="20"/>
              </w:rPr>
              <w:t>1</w:t>
            </w:r>
            <w:r w:rsidR="00276B89" w:rsidRPr="00276B89">
              <w:rPr>
                <w:rFonts w:ascii="Arial" w:hAnsi="Arial" w:cs="Arial"/>
                <w:noProof/>
                <w:webHidden/>
                <w:sz w:val="20"/>
              </w:rPr>
              <w:fldChar w:fldCharType="end"/>
            </w:r>
          </w:hyperlink>
        </w:p>
        <w:p w14:paraId="7C0435A7" w14:textId="6E1B00EE" w:rsidR="00276B89" w:rsidRPr="00276B89" w:rsidRDefault="00EB1C72">
          <w:pPr>
            <w:pStyle w:val="TOC1"/>
            <w:tabs>
              <w:tab w:val="right" w:leader="dot" w:pos="9350"/>
            </w:tabs>
            <w:rPr>
              <w:rFonts w:ascii="Arial" w:eastAsiaTheme="minorEastAsia" w:hAnsi="Arial" w:cs="Arial"/>
              <w:noProof/>
              <w:sz w:val="20"/>
            </w:rPr>
          </w:pPr>
          <w:hyperlink w:anchor="_Toc115942589" w:history="1">
            <w:r w:rsidR="00276B89" w:rsidRPr="00276B89">
              <w:rPr>
                <w:rStyle w:val="Hyperlink"/>
                <w:rFonts w:ascii="Arial" w:hAnsi="Arial" w:cs="Arial"/>
                <w:noProof/>
                <w:sz w:val="20"/>
              </w:rPr>
              <w:t>AGENCY ADOPTION OF THE UG AND EXAMPLE CITATIONS</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_Toc115942589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3</w:t>
            </w:r>
            <w:r w:rsidR="00276B89" w:rsidRPr="00276B89">
              <w:rPr>
                <w:rFonts w:ascii="Arial" w:hAnsi="Arial" w:cs="Arial"/>
                <w:noProof/>
                <w:webHidden/>
                <w:sz w:val="20"/>
              </w:rPr>
              <w:fldChar w:fldCharType="end"/>
            </w:r>
          </w:hyperlink>
        </w:p>
        <w:p w14:paraId="488B50DD" w14:textId="0C3BD13B" w:rsidR="00276B89" w:rsidRPr="00276B89" w:rsidRDefault="00EB1C72">
          <w:pPr>
            <w:pStyle w:val="TOC1"/>
            <w:tabs>
              <w:tab w:val="right" w:leader="dot" w:pos="9350"/>
            </w:tabs>
            <w:rPr>
              <w:rFonts w:ascii="Arial" w:eastAsiaTheme="minorEastAsia" w:hAnsi="Arial" w:cs="Arial"/>
              <w:noProof/>
              <w:sz w:val="20"/>
            </w:rPr>
          </w:pPr>
          <w:hyperlink w:anchor="_Toc115942590" w:history="1">
            <w:r w:rsidR="00276B89" w:rsidRPr="00276B89">
              <w:rPr>
                <w:rStyle w:val="Hyperlink"/>
                <w:rFonts w:ascii="Arial" w:hAnsi="Arial" w:cs="Arial"/>
                <w:noProof/>
                <w:sz w:val="20"/>
              </w:rPr>
              <w:t>Table of Contents</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_Toc115942590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4</w:t>
            </w:r>
            <w:r w:rsidR="00276B89" w:rsidRPr="00276B89">
              <w:rPr>
                <w:rFonts w:ascii="Arial" w:hAnsi="Arial" w:cs="Arial"/>
                <w:noProof/>
                <w:webHidden/>
                <w:sz w:val="20"/>
              </w:rPr>
              <w:fldChar w:fldCharType="end"/>
            </w:r>
          </w:hyperlink>
        </w:p>
        <w:p w14:paraId="23A9F83E" w14:textId="65476D37" w:rsidR="00276B89" w:rsidRPr="00276B89" w:rsidRDefault="00EB1C72">
          <w:pPr>
            <w:pStyle w:val="TOC1"/>
            <w:tabs>
              <w:tab w:val="right" w:leader="dot" w:pos="9350"/>
            </w:tabs>
            <w:rPr>
              <w:rFonts w:ascii="Arial" w:eastAsiaTheme="minorEastAsia" w:hAnsi="Arial" w:cs="Arial"/>
              <w:noProof/>
              <w:sz w:val="20"/>
            </w:rPr>
          </w:pPr>
          <w:hyperlink w:anchor="_Toc115942591" w:history="1">
            <w:r w:rsidR="00276B89" w:rsidRPr="00276B89">
              <w:rPr>
                <w:rStyle w:val="Hyperlink"/>
                <w:rFonts w:ascii="Arial" w:hAnsi="Arial" w:cs="Arial"/>
                <w:noProof/>
                <w:sz w:val="20"/>
              </w:rPr>
              <w:t>Introduction: Materiality by Compliance Requirement Matrix</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_Toc115942591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6</w:t>
            </w:r>
            <w:r w:rsidR="00276B89" w:rsidRPr="00276B89">
              <w:rPr>
                <w:rFonts w:ascii="Arial" w:hAnsi="Arial" w:cs="Arial"/>
                <w:noProof/>
                <w:webHidden/>
                <w:sz w:val="20"/>
              </w:rPr>
              <w:fldChar w:fldCharType="end"/>
            </w:r>
          </w:hyperlink>
        </w:p>
        <w:p w14:paraId="4AA520B7" w14:textId="7F6EF01D" w:rsidR="00276B89" w:rsidRPr="00276B89" w:rsidRDefault="00EB1C72">
          <w:pPr>
            <w:pStyle w:val="TOC1"/>
            <w:tabs>
              <w:tab w:val="right" w:leader="dot" w:pos="9350"/>
            </w:tabs>
            <w:rPr>
              <w:rFonts w:ascii="Arial" w:eastAsiaTheme="minorEastAsia" w:hAnsi="Arial" w:cs="Arial"/>
              <w:noProof/>
              <w:sz w:val="20"/>
            </w:rPr>
          </w:pPr>
          <w:hyperlink w:anchor="_Toc115942592" w:history="1">
            <w:r w:rsidR="00276B89" w:rsidRPr="00276B89">
              <w:rPr>
                <w:rStyle w:val="Hyperlink"/>
                <w:rFonts w:ascii="Arial" w:hAnsi="Arial" w:cs="Arial"/>
                <w:noProof/>
                <w:sz w:val="20"/>
              </w:rPr>
              <w:t>Part I – OMB Compliance Supplement Information</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_Toc115942592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11</w:t>
            </w:r>
            <w:r w:rsidR="00276B89" w:rsidRPr="00276B89">
              <w:rPr>
                <w:rFonts w:ascii="Arial" w:hAnsi="Arial" w:cs="Arial"/>
                <w:noProof/>
                <w:webHidden/>
                <w:sz w:val="20"/>
              </w:rPr>
              <w:fldChar w:fldCharType="end"/>
            </w:r>
          </w:hyperlink>
        </w:p>
        <w:p w14:paraId="3BE4DD2E" w14:textId="5705CF01" w:rsidR="00276B89" w:rsidRPr="00276B89" w:rsidRDefault="00EB1C72">
          <w:pPr>
            <w:pStyle w:val="TOC3"/>
            <w:rPr>
              <w:rFonts w:ascii="Arial" w:eastAsiaTheme="minorEastAsia" w:hAnsi="Arial" w:cs="Arial"/>
              <w:b w:val="0"/>
              <w:noProof/>
              <w:sz w:val="20"/>
            </w:rPr>
          </w:pPr>
          <w:hyperlink w:anchor="_Toc115942593" w:history="1">
            <w:r w:rsidR="00276B89" w:rsidRPr="00276B89">
              <w:rPr>
                <w:rStyle w:val="Hyperlink"/>
                <w:rFonts w:ascii="Arial" w:hAnsi="Arial" w:cs="Arial"/>
                <w:noProof/>
                <w:sz w:val="20"/>
              </w:rPr>
              <w:t>I. Program Objectives</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_Toc115942593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11</w:t>
            </w:r>
            <w:r w:rsidR="00276B89" w:rsidRPr="00276B89">
              <w:rPr>
                <w:rFonts w:ascii="Arial" w:hAnsi="Arial" w:cs="Arial"/>
                <w:noProof/>
                <w:webHidden/>
                <w:sz w:val="20"/>
              </w:rPr>
              <w:fldChar w:fldCharType="end"/>
            </w:r>
          </w:hyperlink>
        </w:p>
        <w:p w14:paraId="5605F93D" w14:textId="3DDBF836" w:rsidR="00276B89" w:rsidRPr="00276B89" w:rsidRDefault="00EB1C72">
          <w:pPr>
            <w:pStyle w:val="TOC3"/>
            <w:rPr>
              <w:rFonts w:ascii="Arial" w:eastAsiaTheme="minorEastAsia" w:hAnsi="Arial" w:cs="Arial"/>
              <w:b w:val="0"/>
              <w:noProof/>
              <w:sz w:val="20"/>
            </w:rPr>
          </w:pPr>
          <w:hyperlink w:anchor="_Toc115942594" w:history="1">
            <w:r w:rsidR="00276B89" w:rsidRPr="00276B89">
              <w:rPr>
                <w:rStyle w:val="Hyperlink"/>
                <w:rFonts w:ascii="Arial" w:hAnsi="Arial" w:cs="Arial"/>
                <w:noProof/>
                <w:sz w:val="20"/>
              </w:rPr>
              <w:t>II. Program Procedures</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_Toc115942594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11</w:t>
            </w:r>
            <w:r w:rsidR="00276B89" w:rsidRPr="00276B89">
              <w:rPr>
                <w:rFonts w:ascii="Arial" w:hAnsi="Arial" w:cs="Arial"/>
                <w:noProof/>
                <w:webHidden/>
                <w:sz w:val="20"/>
              </w:rPr>
              <w:fldChar w:fldCharType="end"/>
            </w:r>
          </w:hyperlink>
        </w:p>
        <w:p w14:paraId="3E377699" w14:textId="32B7C36C" w:rsidR="00276B89" w:rsidRPr="00276B89" w:rsidRDefault="00EB1C72">
          <w:pPr>
            <w:pStyle w:val="TOC3"/>
            <w:rPr>
              <w:rFonts w:ascii="Arial" w:eastAsiaTheme="minorEastAsia" w:hAnsi="Arial" w:cs="Arial"/>
              <w:b w:val="0"/>
              <w:noProof/>
              <w:sz w:val="20"/>
            </w:rPr>
          </w:pPr>
          <w:hyperlink w:anchor="_Toc115942595" w:history="1">
            <w:r w:rsidR="00276B89" w:rsidRPr="00276B89">
              <w:rPr>
                <w:rStyle w:val="Hyperlink"/>
                <w:rFonts w:ascii="Arial" w:hAnsi="Arial" w:cs="Arial"/>
                <w:noProof/>
                <w:sz w:val="20"/>
              </w:rPr>
              <w:t>III. Source of Governing Requirements</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_Toc115942595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12</w:t>
            </w:r>
            <w:r w:rsidR="00276B89" w:rsidRPr="00276B89">
              <w:rPr>
                <w:rFonts w:ascii="Arial" w:hAnsi="Arial" w:cs="Arial"/>
                <w:noProof/>
                <w:webHidden/>
                <w:sz w:val="20"/>
              </w:rPr>
              <w:fldChar w:fldCharType="end"/>
            </w:r>
          </w:hyperlink>
        </w:p>
        <w:p w14:paraId="70CD9276" w14:textId="7317A212" w:rsidR="00276B89" w:rsidRPr="00276B89" w:rsidRDefault="00EB1C72">
          <w:pPr>
            <w:pStyle w:val="TOC3"/>
            <w:rPr>
              <w:rFonts w:ascii="Arial" w:eastAsiaTheme="minorEastAsia" w:hAnsi="Arial" w:cs="Arial"/>
              <w:b w:val="0"/>
              <w:noProof/>
              <w:sz w:val="20"/>
            </w:rPr>
          </w:pPr>
          <w:hyperlink w:anchor="_Toc115942596" w:history="1">
            <w:r w:rsidR="00276B89" w:rsidRPr="00276B89">
              <w:rPr>
                <w:rStyle w:val="Hyperlink"/>
                <w:rFonts w:ascii="Arial" w:hAnsi="Arial" w:cs="Arial"/>
                <w:noProof/>
                <w:sz w:val="20"/>
              </w:rPr>
              <w:t>IV. Other Information</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_Toc115942596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13</w:t>
            </w:r>
            <w:r w:rsidR="00276B89" w:rsidRPr="00276B89">
              <w:rPr>
                <w:rFonts w:ascii="Arial" w:hAnsi="Arial" w:cs="Arial"/>
                <w:noProof/>
                <w:webHidden/>
                <w:sz w:val="20"/>
              </w:rPr>
              <w:fldChar w:fldCharType="end"/>
            </w:r>
          </w:hyperlink>
        </w:p>
        <w:p w14:paraId="1978B2A1" w14:textId="01677E00" w:rsidR="00276B89" w:rsidRPr="00276B89" w:rsidRDefault="00EB1C72">
          <w:pPr>
            <w:pStyle w:val="TOC1"/>
            <w:tabs>
              <w:tab w:val="right" w:leader="dot" w:pos="9350"/>
            </w:tabs>
            <w:rPr>
              <w:rFonts w:ascii="Arial" w:eastAsiaTheme="minorEastAsia" w:hAnsi="Arial" w:cs="Arial"/>
              <w:noProof/>
              <w:sz w:val="20"/>
            </w:rPr>
          </w:pPr>
          <w:hyperlink w:anchor="_Toc115942597" w:history="1">
            <w:r w:rsidR="00276B89" w:rsidRPr="00276B89">
              <w:rPr>
                <w:rStyle w:val="Hyperlink"/>
                <w:rFonts w:ascii="Arial" w:hAnsi="Arial" w:cs="Arial"/>
                <w:noProof/>
                <w:sz w:val="20"/>
              </w:rPr>
              <w:t>Part II – Pass through Agency and Grant Specific Information</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_Toc115942597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14</w:t>
            </w:r>
            <w:r w:rsidR="00276B89" w:rsidRPr="00276B89">
              <w:rPr>
                <w:rFonts w:ascii="Arial" w:hAnsi="Arial" w:cs="Arial"/>
                <w:noProof/>
                <w:webHidden/>
                <w:sz w:val="20"/>
              </w:rPr>
              <w:fldChar w:fldCharType="end"/>
            </w:r>
          </w:hyperlink>
        </w:p>
        <w:p w14:paraId="46698468" w14:textId="6721064A" w:rsidR="00276B89" w:rsidRPr="00276B89" w:rsidRDefault="00EB1C72">
          <w:pPr>
            <w:pStyle w:val="TOC3"/>
            <w:rPr>
              <w:rFonts w:ascii="Arial" w:eastAsiaTheme="minorEastAsia" w:hAnsi="Arial" w:cs="Arial"/>
              <w:b w:val="0"/>
              <w:noProof/>
              <w:sz w:val="20"/>
            </w:rPr>
          </w:pPr>
          <w:hyperlink w:anchor="_Toc115942598" w:history="1">
            <w:r w:rsidR="00276B89" w:rsidRPr="00276B89">
              <w:rPr>
                <w:rStyle w:val="Hyperlink"/>
                <w:rFonts w:ascii="Arial" w:hAnsi="Arial" w:cs="Arial"/>
                <w:noProof/>
                <w:sz w:val="20"/>
              </w:rPr>
              <w:t>Program Overview</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_Toc115942598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14</w:t>
            </w:r>
            <w:r w:rsidR="00276B89" w:rsidRPr="00276B89">
              <w:rPr>
                <w:rFonts w:ascii="Arial" w:hAnsi="Arial" w:cs="Arial"/>
                <w:noProof/>
                <w:webHidden/>
                <w:sz w:val="20"/>
              </w:rPr>
              <w:fldChar w:fldCharType="end"/>
            </w:r>
          </w:hyperlink>
        </w:p>
        <w:p w14:paraId="59097347" w14:textId="67D28C4A" w:rsidR="00276B89" w:rsidRPr="00276B89" w:rsidRDefault="00EB1C72">
          <w:pPr>
            <w:pStyle w:val="TOC3"/>
            <w:rPr>
              <w:rFonts w:ascii="Arial" w:eastAsiaTheme="minorEastAsia" w:hAnsi="Arial" w:cs="Arial"/>
              <w:b w:val="0"/>
              <w:noProof/>
              <w:sz w:val="20"/>
            </w:rPr>
          </w:pPr>
          <w:hyperlink w:anchor="_Toc115942599" w:history="1">
            <w:r w:rsidR="00276B89" w:rsidRPr="00276B89">
              <w:rPr>
                <w:rStyle w:val="Hyperlink"/>
                <w:rFonts w:ascii="Arial" w:hAnsi="Arial" w:cs="Arial"/>
                <w:noProof/>
                <w:sz w:val="20"/>
              </w:rPr>
              <w:t>Testing Considerations</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_Toc115942599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14</w:t>
            </w:r>
            <w:r w:rsidR="00276B89" w:rsidRPr="00276B89">
              <w:rPr>
                <w:rFonts w:ascii="Arial" w:hAnsi="Arial" w:cs="Arial"/>
                <w:noProof/>
                <w:webHidden/>
                <w:sz w:val="20"/>
              </w:rPr>
              <w:fldChar w:fldCharType="end"/>
            </w:r>
          </w:hyperlink>
        </w:p>
        <w:p w14:paraId="5A986167" w14:textId="1C6639AB" w:rsidR="00276B89" w:rsidRPr="00276B89" w:rsidRDefault="00EB1C72">
          <w:pPr>
            <w:pStyle w:val="TOC3"/>
            <w:rPr>
              <w:rFonts w:ascii="Arial" w:eastAsiaTheme="minorEastAsia" w:hAnsi="Arial" w:cs="Arial"/>
              <w:b w:val="0"/>
              <w:noProof/>
              <w:sz w:val="20"/>
            </w:rPr>
          </w:pPr>
          <w:hyperlink w:anchor="_Toc115942600" w:history="1">
            <w:r w:rsidR="00276B89" w:rsidRPr="00276B89">
              <w:rPr>
                <w:rStyle w:val="Hyperlink"/>
                <w:rFonts w:ascii="Arial" w:hAnsi="Arial" w:cs="Arial"/>
                <w:noProof/>
                <w:sz w:val="20"/>
              </w:rPr>
              <w:t>Reporting</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_Toc115942600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14</w:t>
            </w:r>
            <w:r w:rsidR="00276B89" w:rsidRPr="00276B89">
              <w:rPr>
                <w:rFonts w:ascii="Arial" w:hAnsi="Arial" w:cs="Arial"/>
                <w:noProof/>
                <w:webHidden/>
                <w:sz w:val="20"/>
              </w:rPr>
              <w:fldChar w:fldCharType="end"/>
            </w:r>
          </w:hyperlink>
        </w:p>
        <w:p w14:paraId="22DD9ADD" w14:textId="7FF0A830" w:rsidR="00276B89" w:rsidRPr="00276B89" w:rsidRDefault="00EB1C72">
          <w:pPr>
            <w:pStyle w:val="TOC1"/>
            <w:tabs>
              <w:tab w:val="right" w:leader="dot" w:pos="9350"/>
            </w:tabs>
            <w:rPr>
              <w:rFonts w:ascii="Arial" w:eastAsiaTheme="minorEastAsia" w:hAnsi="Arial" w:cs="Arial"/>
              <w:noProof/>
              <w:sz w:val="20"/>
            </w:rPr>
          </w:pPr>
          <w:hyperlink w:anchor="_Toc115942601" w:history="1">
            <w:r w:rsidR="00276B89" w:rsidRPr="00276B89">
              <w:rPr>
                <w:rStyle w:val="Hyperlink"/>
                <w:rFonts w:ascii="Arial" w:hAnsi="Arial" w:cs="Arial"/>
                <w:noProof/>
                <w:sz w:val="20"/>
              </w:rPr>
              <w:t>PART III – APPLICABLE COMPLIANCE REQUIREMENTS</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_Toc115942601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15</w:t>
            </w:r>
            <w:r w:rsidR="00276B89" w:rsidRPr="00276B89">
              <w:rPr>
                <w:rFonts w:ascii="Arial" w:hAnsi="Arial" w:cs="Arial"/>
                <w:noProof/>
                <w:webHidden/>
                <w:sz w:val="20"/>
              </w:rPr>
              <w:fldChar w:fldCharType="end"/>
            </w:r>
          </w:hyperlink>
        </w:p>
        <w:p w14:paraId="2A8AE016" w14:textId="6E8A1FD2" w:rsidR="00276B89" w:rsidRPr="00276B89" w:rsidRDefault="00EB1C72">
          <w:pPr>
            <w:pStyle w:val="TOC2"/>
            <w:rPr>
              <w:rFonts w:eastAsiaTheme="minorEastAsia"/>
              <w:bCs w:val="0"/>
              <w:sz w:val="20"/>
              <w:szCs w:val="20"/>
            </w:rPr>
          </w:pPr>
          <w:hyperlink w:anchor="_Toc115942602" w:history="1">
            <w:r w:rsidR="00276B89" w:rsidRPr="00276B89">
              <w:rPr>
                <w:rStyle w:val="Hyperlink"/>
                <w:sz w:val="20"/>
                <w:szCs w:val="20"/>
              </w:rPr>
              <w:t>A.  ACTIVITIES ALLOWED OR UNALLOWED</w:t>
            </w:r>
            <w:r w:rsidR="00276B89" w:rsidRPr="00276B89">
              <w:rPr>
                <w:webHidden/>
                <w:sz w:val="20"/>
                <w:szCs w:val="20"/>
              </w:rPr>
              <w:tab/>
            </w:r>
            <w:r w:rsidR="00276B89" w:rsidRPr="00276B89">
              <w:rPr>
                <w:webHidden/>
                <w:sz w:val="20"/>
                <w:szCs w:val="20"/>
              </w:rPr>
              <w:fldChar w:fldCharType="begin"/>
            </w:r>
            <w:r w:rsidR="00276B89" w:rsidRPr="00276B89">
              <w:rPr>
                <w:webHidden/>
                <w:sz w:val="20"/>
                <w:szCs w:val="20"/>
              </w:rPr>
              <w:instrText xml:space="preserve"> PAGEREF _Toc115942602 \h </w:instrText>
            </w:r>
            <w:r w:rsidR="00276B89" w:rsidRPr="00276B89">
              <w:rPr>
                <w:webHidden/>
                <w:sz w:val="20"/>
                <w:szCs w:val="20"/>
              </w:rPr>
            </w:r>
            <w:r w:rsidR="00276B89" w:rsidRPr="00276B89">
              <w:rPr>
                <w:webHidden/>
                <w:sz w:val="20"/>
                <w:szCs w:val="20"/>
              </w:rPr>
              <w:fldChar w:fldCharType="separate"/>
            </w:r>
            <w:r>
              <w:rPr>
                <w:webHidden/>
                <w:sz w:val="20"/>
                <w:szCs w:val="20"/>
              </w:rPr>
              <w:t>15</w:t>
            </w:r>
            <w:r w:rsidR="00276B89" w:rsidRPr="00276B89">
              <w:rPr>
                <w:webHidden/>
                <w:sz w:val="20"/>
                <w:szCs w:val="20"/>
              </w:rPr>
              <w:fldChar w:fldCharType="end"/>
            </w:r>
          </w:hyperlink>
        </w:p>
        <w:p w14:paraId="2CC370A1" w14:textId="64E96B17" w:rsidR="00276B89" w:rsidRPr="00276B89" w:rsidRDefault="00EB1C72">
          <w:pPr>
            <w:pStyle w:val="TOC3"/>
            <w:rPr>
              <w:rFonts w:ascii="Arial" w:eastAsiaTheme="minorEastAsia" w:hAnsi="Arial" w:cs="Arial"/>
              <w:b w:val="0"/>
              <w:noProof/>
              <w:sz w:val="20"/>
            </w:rPr>
          </w:pPr>
          <w:hyperlink w:anchor="_Toc115942603" w:history="1">
            <w:r w:rsidR="00276B89" w:rsidRPr="00276B89">
              <w:rPr>
                <w:rStyle w:val="Hyperlink"/>
                <w:rFonts w:ascii="Arial" w:hAnsi="Arial" w:cs="Arial"/>
                <w:noProof/>
                <w:sz w:val="20"/>
              </w:rPr>
              <w:t>OMB Compliance Requirements</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_Toc115942603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15</w:t>
            </w:r>
            <w:r w:rsidR="00276B89" w:rsidRPr="00276B89">
              <w:rPr>
                <w:rFonts w:ascii="Arial" w:hAnsi="Arial" w:cs="Arial"/>
                <w:noProof/>
                <w:webHidden/>
                <w:sz w:val="20"/>
              </w:rPr>
              <w:fldChar w:fldCharType="end"/>
            </w:r>
          </w:hyperlink>
        </w:p>
        <w:p w14:paraId="60C492A6" w14:textId="221F0674" w:rsidR="00276B89" w:rsidRPr="00276B89" w:rsidRDefault="00EB1C72">
          <w:pPr>
            <w:pStyle w:val="TOC3"/>
            <w:rPr>
              <w:rFonts w:ascii="Arial" w:eastAsiaTheme="minorEastAsia" w:hAnsi="Arial" w:cs="Arial"/>
              <w:b w:val="0"/>
              <w:noProof/>
              <w:sz w:val="20"/>
            </w:rPr>
          </w:pPr>
          <w:hyperlink w:anchor="_Toc115942604" w:history="1">
            <w:r w:rsidR="00276B89" w:rsidRPr="00276B89">
              <w:rPr>
                <w:rStyle w:val="Hyperlink"/>
                <w:rFonts w:ascii="Arial" w:hAnsi="Arial" w:cs="Arial"/>
                <w:noProof/>
                <w:sz w:val="20"/>
              </w:rPr>
              <w:t>Additional Program Specific Information</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_Toc115942604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17</w:t>
            </w:r>
            <w:r w:rsidR="00276B89" w:rsidRPr="00276B89">
              <w:rPr>
                <w:rFonts w:ascii="Arial" w:hAnsi="Arial" w:cs="Arial"/>
                <w:noProof/>
                <w:webHidden/>
                <w:sz w:val="20"/>
              </w:rPr>
              <w:fldChar w:fldCharType="end"/>
            </w:r>
          </w:hyperlink>
        </w:p>
        <w:p w14:paraId="703AD30D" w14:textId="3F665548" w:rsidR="00276B89" w:rsidRPr="00276B89" w:rsidRDefault="00EB1C72">
          <w:pPr>
            <w:pStyle w:val="TOC3"/>
            <w:rPr>
              <w:rFonts w:ascii="Arial" w:eastAsiaTheme="minorEastAsia" w:hAnsi="Arial" w:cs="Arial"/>
              <w:b w:val="0"/>
              <w:noProof/>
              <w:sz w:val="20"/>
            </w:rPr>
          </w:pPr>
          <w:hyperlink w:anchor="_Toc115942605" w:history="1">
            <w:r w:rsidR="00276B89" w:rsidRPr="00276B89">
              <w:rPr>
                <w:rStyle w:val="Hyperlink"/>
                <w:rFonts w:ascii="Arial" w:hAnsi="Arial" w:cs="Arial"/>
                <w:noProof/>
                <w:sz w:val="20"/>
              </w:rPr>
              <w:t>Audit Objectives and Control Testing</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_Toc115942605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17</w:t>
            </w:r>
            <w:r w:rsidR="00276B89" w:rsidRPr="00276B89">
              <w:rPr>
                <w:rFonts w:ascii="Arial" w:hAnsi="Arial" w:cs="Arial"/>
                <w:noProof/>
                <w:webHidden/>
                <w:sz w:val="20"/>
              </w:rPr>
              <w:fldChar w:fldCharType="end"/>
            </w:r>
          </w:hyperlink>
        </w:p>
        <w:p w14:paraId="1BBF9761" w14:textId="5C1A4A25" w:rsidR="00276B89" w:rsidRPr="00276B89" w:rsidRDefault="00EB1C72">
          <w:pPr>
            <w:pStyle w:val="TOC3"/>
            <w:rPr>
              <w:rFonts w:ascii="Arial" w:eastAsiaTheme="minorEastAsia" w:hAnsi="Arial" w:cs="Arial"/>
              <w:b w:val="0"/>
              <w:noProof/>
              <w:sz w:val="20"/>
            </w:rPr>
          </w:pPr>
          <w:hyperlink w:anchor="_Toc115942606" w:history="1">
            <w:r w:rsidR="00276B89" w:rsidRPr="00276B89">
              <w:rPr>
                <w:rStyle w:val="Hyperlink"/>
                <w:rFonts w:ascii="Arial" w:hAnsi="Arial" w:cs="Arial"/>
                <w:noProof/>
                <w:sz w:val="20"/>
              </w:rPr>
              <w:t>Suggested Audit Procedures – Compliance</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_Toc115942606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18</w:t>
            </w:r>
            <w:r w:rsidR="00276B89" w:rsidRPr="00276B89">
              <w:rPr>
                <w:rFonts w:ascii="Arial" w:hAnsi="Arial" w:cs="Arial"/>
                <w:noProof/>
                <w:webHidden/>
                <w:sz w:val="20"/>
              </w:rPr>
              <w:fldChar w:fldCharType="end"/>
            </w:r>
          </w:hyperlink>
        </w:p>
        <w:p w14:paraId="201F2F3E" w14:textId="74596BFC" w:rsidR="00276B89" w:rsidRPr="00276B89" w:rsidRDefault="00EB1C72">
          <w:pPr>
            <w:pStyle w:val="TOC3"/>
            <w:rPr>
              <w:rFonts w:ascii="Arial" w:eastAsiaTheme="minorEastAsia" w:hAnsi="Arial" w:cs="Arial"/>
              <w:b w:val="0"/>
              <w:noProof/>
              <w:sz w:val="20"/>
            </w:rPr>
          </w:pPr>
          <w:hyperlink w:anchor="_Toc115942607" w:history="1">
            <w:r w:rsidR="00276B89" w:rsidRPr="00276B89">
              <w:rPr>
                <w:rStyle w:val="Hyperlink"/>
                <w:rFonts w:ascii="Arial" w:hAnsi="Arial" w:cs="Arial"/>
                <w:noProof/>
                <w:sz w:val="20"/>
              </w:rPr>
              <w:t>Audit Implications Summary</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_Toc115942607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19</w:t>
            </w:r>
            <w:r w:rsidR="00276B89" w:rsidRPr="00276B89">
              <w:rPr>
                <w:rFonts w:ascii="Arial" w:hAnsi="Arial" w:cs="Arial"/>
                <w:noProof/>
                <w:webHidden/>
                <w:sz w:val="20"/>
              </w:rPr>
              <w:fldChar w:fldCharType="end"/>
            </w:r>
          </w:hyperlink>
        </w:p>
        <w:p w14:paraId="6764308B" w14:textId="055DC983" w:rsidR="00276B89" w:rsidRPr="00276B89" w:rsidRDefault="00EB1C72">
          <w:pPr>
            <w:pStyle w:val="TOC2"/>
            <w:rPr>
              <w:rFonts w:eastAsiaTheme="minorEastAsia"/>
              <w:bCs w:val="0"/>
              <w:sz w:val="20"/>
              <w:szCs w:val="20"/>
            </w:rPr>
          </w:pPr>
          <w:hyperlink w:anchor="_Toc115942608" w:history="1">
            <w:r w:rsidR="00276B89" w:rsidRPr="00276B89">
              <w:rPr>
                <w:rStyle w:val="Hyperlink"/>
                <w:sz w:val="20"/>
                <w:szCs w:val="20"/>
              </w:rPr>
              <w:t>B.  ALLOWABLE COSTS/COST PRINCIPLES</w:t>
            </w:r>
            <w:r w:rsidR="00276B89" w:rsidRPr="00276B89">
              <w:rPr>
                <w:webHidden/>
                <w:sz w:val="20"/>
                <w:szCs w:val="20"/>
              </w:rPr>
              <w:tab/>
            </w:r>
            <w:r w:rsidR="00276B89" w:rsidRPr="00276B89">
              <w:rPr>
                <w:webHidden/>
                <w:sz w:val="20"/>
                <w:szCs w:val="20"/>
              </w:rPr>
              <w:fldChar w:fldCharType="begin"/>
            </w:r>
            <w:r w:rsidR="00276B89" w:rsidRPr="00276B89">
              <w:rPr>
                <w:webHidden/>
                <w:sz w:val="20"/>
                <w:szCs w:val="20"/>
              </w:rPr>
              <w:instrText xml:space="preserve"> PAGEREF _Toc115942608 \h </w:instrText>
            </w:r>
            <w:r w:rsidR="00276B89" w:rsidRPr="00276B89">
              <w:rPr>
                <w:webHidden/>
                <w:sz w:val="20"/>
                <w:szCs w:val="20"/>
              </w:rPr>
            </w:r>
            <w:r w:rsidR="00276B89" w:rsidRPr="00276B89">
              <w:rPr>
                <w:webHidden/>
                <w:sz w:val="20"/>
                <w:szCs w:val="20"/>
              </w:rPr>
              <w:fldChar w:fldCharType="separate"/>
            </w:r>
            <w:r>
              <w:rPr>
                <w:webHidden/>
                <w:sz w:val="20"/>
                <w:szCs w:val="20"/>
              </w:rPr>
              <w:t>20</w:t>
            </w:r>
            <w:r w:rsidR="00276B89" w:rsidRPr="00276B89">
              <w:rPr>
                <w:webHidden/>
                <w:sz w:val="20"/>
                <w:szCs w:val="20"/>
              </w:rPr>
              <w:fldChar w:fldCharType="end"/>
            </w:r>
          </w:hyperlink>
        </w:p>
        <w:p w14:paraId="09A7283B" w14:textId="192DFAE0" w:rsidR="00276B89" w:rsidRPr="00276B89" w:rsidRDefault="00EB1C72">
          <w:pPr>
            <w:pStyle w:val="TOC3"/>
            <w:rPr>
              <w:rFonts w:ascii="Arial" w:eastAsiaTheme="minorEastAsia" w:hAnsi="Arial" w:cs="Arial"/>
              <w:b w:val="0"/>
              <w:noProof/>
              <w:sz w:val="20"/>
            </w:rPr>
          </w:pPr>
          <w:hyperlink w:anchor="_Toc115942609" w:history="1">
            <w:r w:rsidR="00276B89" w:rsidRPr="00276B89">
              <w:rPr>
                <w:rStyle w:val="Hyperlink"/>
                <w:rFonts w:ascii="Arial" w:hAnsi="Arial" w:cs="Arial"/>
                <w:noProof/>
                <w:sz w:val="20"/>
              </w:rPr>
              <w:t>Applicability of Cost Principles</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_Toc115942609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20</w:t>
            </w:r>
            <w:r w:rsidR="00276B89" w:rsidRPr="00276B89">
              <w:rPr>
                <w:rFonts w:ascii="Arial" w:hAnsi="Arial" w:cs="Arial"/>
                <w:noProof/>
                <w:webHidden/>
                <w:sz w:val="20"/>
              </w:rPr>
              <w:fldChar w:fldCharType="end"/>
            </w:r>
          </w:hyperlink>
        </w:p>
        <w:p w14:paraId="6CBF09D7" w14:textId="4ED8F5C9" w:rsidR="00276B89" w:rsidRPr="00276B89" w:rsidRDefault="00EB1C72">
          <w:pPr>
            <w:pStyle w:val="TOC3"/>
            <w:rPr>
              <w:rFonts w:ascii="Arial" w:eastAsiaTheme="minorEastAsia" w:hAnsi="Arial" w:cs="Arial"/>
              <w:b w:val="0"/>
              <w:noProof/>
              <w:sz w:val="20"/>
            </w:rPr>
          </w:pPr>
          <w:hyperlink w:anchor="_Toc115942610" w:history="1">
            <w:r w:rsidR="00276B89" w:rsidRPr="00276B89">
              <w:rPr>
                <w:rStyle w:val="Hyperlink"/>
                <w:rFonts w:ascii="Arial" w:hAnsi="Arial" w:cs="Arial"/>
                <w:noProof/>
                <w:sz w:val="20"/>
              </w:rPr>
              <w:t>Additional Program Specific Information</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_Toc115942610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23</w:t>
            </w:r>
            <w:r w:rsidR="00276B89" w:rsidRPr="00276B89">
              <w:rPr>
                <w:rFonts w:ascii="Arial" w:hAnsi="Arial" w:cs="Arial"/>
                <w:noProof/>
                <w:webHidden/>
                <w:sz w:val="20"/>
              </w:rPr>
              <w:fldChar w:fldCharType="end"/>
            </w:r>
          </w:hyperlink>
        </w:p>
        <w:p w14:paraId="77E975F6" w14:textId="570F0837" w:rsidR="00276B89" w:rsidRPr="00276B89" w:rsidRDefault="00EB1C72">
          <w:pPr>
            <w:pStyle w:val="TOC3"/>
            <w:rPr>
              <w:rFonts w:ascii="Arial" w:eastAsiaTheme="minorEastAsia" w:hAnsi="Arial" w:cs="Arial"/>
              <w:b w:val="0"/>
              <w:noProof/>
              <w:sz w:val="20"/>
            </w:rPr>
          </w:pPr>
          <w:hyperlink w:anchor="_Toc115942611" w:history="1">
            <w:r w:rsidR="00276B89" w:rsidRPr="00276B89">
              <w:rPr>
                <w:rStyle w:val="Hyperlink"/>
                <w:rFonts w:ascii="Arial" w:hAnsi="Arial" w:cs="Arial"/>
                <w:noProof/>
                <w:sz w:val="20"/>
              </w:rPr>
              <w:t>Indirect Cost Rate</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_Toc115942611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24</w:t>
            </w:r>
            <w:r w:rsidR="00276B89" w:rsidRPr="00276B89">
              <w:rPr>
                <w:rFonts w:ascii="Arial" w:hAnsi="Arial" w:cs="Arial"/>
                <w:noProof/>
                <w:webHidden/>
                <w:sz w:val="20"/>
              </w:rPr>
              <w:fldChar w:fldCharType="end"/>
            </w:r>
          </w:hyperlink>
        </w:p>
        <w:p w14:paraId="525F5E1E" w14:textId="6B2DAA5E" w:rsidR="00276B89" w:rsidRPr="00276B89" w:rsidRDefault="00EB1C72">
          <w:pPr>
            <w:pStyle w:val="TOC3"/>
            <w:rPr>
              <w:rFonts w:ascii="Arial" w:eastAsiaTheme="minorEastAsia" w:hAnsi="Arial" w:cs="Arial"/>
              <w:b w:val="0"/>
              <w:noProof/>
              <w:sz w:val="20"/>
            </w:rPr>
          </w:pPr>
          <w:hyperlink w:anchor="_Toc115942612" w:history="1">
            <w:r w:rsidR="00276B89" w:rsidRPr="00276B89">
              <w:rPr>
                <w:rStyle w:val="Hyperlink"/>
                <w:rFonts w:ascii="Arial" w:hAnsi="Arial" w:cs="Arial"/>
                <w:noProof/>
                <w:sz w:val="20"/>
              </w:rPr>
              <w:t>Cost Principles for States, Local Governments and Indian Tribes</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_Toc115942612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25</w:t>
            </w:r>
            <w:r w:rsidR="00276B89" w:rsidRPr="00276B89">
              <w:rPr>
                <w:rFonts w:ascii="Arial" w:hAnsi="Arial" w:cs="Arial"/>
                <w:noProof/>
                <w:webHidden/>
                <w:sz w:val="20"/>
              </w:rPr>
              <w:fldChar w:fldCharType="end"/>
            </w:r>
          </w:hyperlink>
        </w:p>
        <w:p w14:paraId="2FAA9990" w14:textId="244748F0" w:rsidR="00276B89" w:rsidRPr="00276B89" w:rsidRDefault="00EB1C72">
          <w:pPr>
            <w:pStyle w:val="TOC3"/>
            <w:rPr>
              <w:rFonts w:ascii="Arial" w:eastAsiaTheme="minorEastAsia" w:hAnsi="Arial" w:cs="Arial"/>
              <w:b w:val="0"/>
              <w:noProof/>
              <w:sz w:val="20"/>
            </w:rPr>
          </w:pPr>
          <w:hyperlink w:anchor="_Toc115942613" w:history="1">
            <w:r w:rsidR="00276B89" w:rsidRPr="00276B89">
              <w:rPr>
                <w:rStyle w:val="Hyperlink"/>
                <w:rFonts w:ascii="Arial" w:hAnsi="Arial" w:cs="Arial"/>
                <w:noProof/>
                <w:sz w:val="20"/>
              </w:rPr>
              <w:t>Allowable Costs – State/Local Government-wide Central Service Costs</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_Toc115942613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32</w:t>
            </w:r>
            <w:r w:rsidR="00276B89" w:rsidRPr="00276B89">
              <w:rPr>
                <w:rFonts w:ascii="Arial" w:hAnsi="Arial" w:cs="Arial"/>
                <w:noProof/>
                <w:webHidden/>
                <w:sz w:val="20"/>
              </w:rPr>
              <w:fldChar w:fldCharType="end"/>
            </w:r>
          </w:hyperlink>
        </w:p>
        <w:p w14:paraId="3ED1FC09" w14:textId="598A7453" w:rsidR="00276B89" w:rsidRPr="00276B89" w:rsidRDefault="00EB1C72">
          <w:pPr>
            <w:pStyle w:val="TOC3"/>
            <w:rPr>
              <w:rFonts w:ascii="Arial" w:eastAsiaTheme="minorEastAsia" w:hAnsi="Arial" w:cs="Arial"/>
              <w:b w:val="0"/>
              <w:noProof/>
              <w:sz w:val="20"/>
            </w:rPr>
          </w:pPr>
          <w:hyperlink w:anchor="_Toc115942614" w:history="1">
            <w:r w:rsidR="00276B89" w:rsidRPr="00276B89">
              <w:rPr>
                <w:rStyle w:val="Hyperlink"/>
                <w:rFonts w:ascii="Arial" w:hAnsi="Arial" w:cs="Arial"/>
                <w:noProof/>
                <w:sz w:val="20"/>
              </w:rPr>
              <w:t>Allowable Costs – State Public Assistance Agency Costs</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_Toc115942614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37</w:t>
            </w:r>
            <w:r w:rsidR="00276B89" w:rsidRPr="00276B89">
              <w:rPr>
                <w:rFonts w:ascii="Arial" w:hAnsi="Arial" w:cs="Arial"/>
                <w:noProof/>
                <w:webHidden/>
                <w:sz w:val="20"/>
              </w:rPr>
              <w:fldChar w:fldCharType="end"/>
            </w:r>
          </w:hyperlink>
        </w:p>
        <w:p w14:paraId="18BEAD21" w14:textId="4DA5A037" w:rsidR="00276B89" w:rsidRPr="00276B89" w:rsidRDefault="00EB1C72">
          <w:pPr>
            <w:pStyle w:val="TOC3"/>
            <w:rPr>
              <w:rFonts w:ascii="Arial" w:eastAsiaTheme="minorEastAsia" w:hAnsi="Arial" w:cs="Arial"/>
              <w:b w:val="0"/>
              <w:noProof/>
              <w:sz w:val="20"/>
            </w:rPr>
          </w:pPr>
          <w:hyperlink w:anchor="_Toc115942615" w:history="1">
            <w:r w:rsidR="00276B89" w:rsidRPr="00276B89">
              <w:rPr>
                <w:rStyle w:val="Hyperlink"/>
                <w:rFonts w:ascii="Arial" w:hAnsi="Arial" w:cs="Arial"/>
                <w:noProof/>
                <w:sz w:val="20"/>
              </w:rPr>
              <w:t>Cost Principles for Nonprofit Organizations</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_Toc115942615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41</w:t>
            </w:r>
            <w:r w:rsidR="00276B89" w:rsidRPr="00276B89">
              <w:rPr>
                <w:rFonts w:ascii="Arial" w:hAnsi="Arial" w:cs="Arial"/>
                <w:noProof/>
                <w:webHidden/>
                <w:sz w:val="20"/>
              </w:rPr>
              <w:fldChar w:fldCharType="end"/>
            </w:r>
          </w:hyperlink>
        </w:p>
        <w:p w14:paraId="660485E1" w14:textId="1DB74E7C" w:rsidR="00276B89" w:rsidRPr="00276B89" w:rsidRDefault="00EB1C72">
          <w:pPr>
            <w:pStyle w:val="TOC3"/>
            <w:rPr>
              <w:rFonts w:ascii="Arial" w:eastAsiaTheme="minorEastAsia" w:hAnsi="Arial" w:cs="Arial"/>
              <w:b w:val="0"/>
              <w:noProof/>
              <w:sz w:val="20"/>
            </w:rPr>
          </w:pPr>
          <w:hyperlink w:anchor="_Toc115942616" w:history="1">
            <w:r w:rsidR="00276B89" w:rsidRPr="00276B89">
              <w:rPr>
                <w:rStyle w:val="Hyperlink"/>
                <w:rFonts w:ascii="Arial" w:hAnsi="Arial" w:cs="Arial"/>
                <w:noProof/>
                <w:sz w:val="20"/>
              </w:rPr>
              <w:t>Audit Implications Summary</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_Toc115942616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41</w:t>
            </w:r>
            <w:r w:rsidR="00276B89" w:rsidRPr="00276B89">
              <w:rPr>
                <w:rFonts w:ascii="Arial" w:hAnsi="Arial" w:cs="Arial"/>
                <w:noProof/>
                <w:webHidden/>
                <w:sz w:val="20"/>
              </w:rPr>
              <w:fldChar w:fldCharType="end"/>
            </w:r>
          </w:hyperlink>
        </w:p>
        <w:p w14:paraId="56910019" w14:textId="7F921A3E" w:rsidR="00276B89" w:rsidRPr="00276B89" w:rsidRDefault="00EB1C72">
          <w:pPr>
            <w:pStyle w:val="TOC2"/>
            <w:rPr>
              <w:rFonts w:eastAsiaTheme="minorEastAsia"/>
              <w:bCs w:val="0"/>
              <w:sz w:val="20"/>
              <w:szCs w:val="20"/>
            </w:rPr>
          </w:pPr>
          <w:hyperlink w:anchor="_Toc115942617" w:history="1">
            <w:r w:rsidR="00276B89" w:rsidRPr="00276B89">
              <w:rPr>
                <w:rStyle w:val="Hyperlink"/>
                <w:sz w:val="20"/>
                <w:szCs w:val="20"/>
              </w:rPr>
              <w:t>H.  PERIOD OF PERFORMANCE</w:t>
            </w:r>
            <w:r w:rsidR="00276B89" w:rsidRPr="00276B89">
              <w:rPr>
                <w:webHidden/>
                <w:sz w:val="20"/>
                <w:szCs w:val="20"/>
              </w:rPr>
              <w:tab/>
            </w:r>
            <w:r w:rsidR="00276B89" w:rsidRPr="00276B89">
              <w:rPr>
                <w:webHidden/>
                <w:sz w:val="20"/>
                <w:szCs w:val="20"/>
              </w:rPr>
              <w:fldChar w:fldCharType="begin"/>
            </w:r>
            <w:r w:rsidR="00276B89" w:rsidRPr="00276B89">
              <w:rPr>
                <w:webHidden/>
                <w:sz w:val="20"/>
                <w:szCs w:val="20"/>
              </w:rPr>
              <w:instrText xml:space="preserve"> PAGEREF _Toc115942617 \h </w:instrText>
            </w:r>
            <w:r w:rsidR="00276B89" w:rsidRPr="00276B89">
              <w:rPr>
                <w:webHidden/>
                <w:sz w:val="20"/>
                <w:szCs w:val="20"/>
              </w:rPr>
            </w:r>
            <w:r w:rsidR="00276B89" w:rsidRPr="00276B89">
              <w:rPr>
                <w:webHidden/>
                <w:sz w:val="20"/>
                <w:szCs w:val="20"/>
              </w:rPr>
              <w:fldChar w:fldCharType="separate"/>
            </w:r>
            <w:r>
              <w:rPr>
                <w:webHidden/>
                <w:sz w:val="20"/>
                <w:szCs w:val="20"/>
              </w:rPr>
              <w:t>42</w:t>
            </w:r>
            <w:r w:rsidR="00276B89" w:rsidRPr="00276B89">
              <w:rPr>
                <w:webHidden/>
                <w:sz w:val="20"/>
                <w:szCs w:val="20"/>
              </w:rPr>
              <w:fldChar w:fldCharType="end"/>
            </w:r>
          </w:hyperlink>
        </w:p>
        <w:p w14:paraId="13BDA67C" w14:textId="568FA1B0" w:rsidR="00276B89" w:rsidRPr="00276B89" w:rsidRDefault="00EB1C72">
          <w:pPr>
            <w:pStyle w:val="TOC3"/>
            <w:rPr>
              <w:rFonts w:ascii="Arial" w:eastAsiaTheme="minorEastAsia" w:hAnsi="Arial" w:cs="Arial"/>
              <w:b w:val="0"/>
              <w:noProof/>
              <w:sz w:val="20"/>
            </w:rPr>
          </w:pPr>
          <w:hyperlink w:anchor="_Toc115942618" w:history="1">
            <w:r w:rsidR="00276B89" w:rsidRPr="00276B89">
              <w:rPr>
                <w:rStyle w:val="Hyperlink"/>
                <w:rFonts w:ascii="Arial" w:hAnsi="Arial" w:cs="Arial"/>
                <w:noProof/>
                <w:sz w:val="20"/>
              </w:rPr>
              <w:t>OMB Compliance Requirements</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_Toc115942618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42</w:t>
            </w:r>
            <w:r w:rsidR="00276B89" w:rsidRPr="00276B89">
              <w:rPr>
                <w:rFonts w:ascii="Arial" w:hAnsi="Arial" w:cs="Arial"/>
                <w:noProof/>
                <w:webHidden/>
                <w:sz w:val="20"/>
              </w:rPr>
              <w:fldChar w:fldCharType="end"/>
            </w:r>
          </w:hyperlink>
        </w:p>
        <w:p w14:paraId="6DA8AFFF" w14:textId="3F4810D3" w:rsidR="00276B89" w:rsidRPr="00276B89" w:rsidRDefault="00EB1C72">
          <w:pPr>
            <w:pStyle w:val="TOC3"/>
            <w:rPr>
              <w:rFonts w:ascii="Arial" w:eastAsiaTheme="minorEastAsia" w:hAnsi="Arial" w:cs="Arial"/>
              <w:b w:val="0"/>
              <w:noProof/>
              <w:sz w:val="20"/>
            </w:rPr>
          </w:pPr>
          <w:hyperlink w:anchor="_Toc115942619" w:history="1">
            <w:r w:rsidR="00276B89" w:rsidRPr="00276B89">
              <w:rPr>
                <w:rStyle w:val="Hyperlink"/>
                <w:rFonts w:ascii="Arial" w:hAnsi="Arial" w:cs="Arial"/>
                <w:noProof/>
                <w:sz w:val="20"/>
              </w:rPr>
              <w:t>Additional Program Specific Information</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_Toc115942619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43</w:t>
            </w:r>
            <w:r w:rsidR="00276B89" w:rsidRPr="00276B89">
              <w:rPr>
                <w:rFonts w:ascii="Arial" w:hAnsi="Arial" w:cs="Arial"/>
                <w:noProof/>
                <w:webHidden/>
                <w:sz w:val="20"/>
              </w:rPr>
              <w:fldChar w:fldCharType="end"/>
            </w:r>
          </w:hyperlink>
        </w:p>
        <w:p w14:paraId="7B74B861" w14:textId="4C400B80" w:rsidR="00276B89" w:rsidRPr="00276B89" w:rsidRDefault="00EB1C72">
          <w:pPr>
            <w:pStyle w:val="TOC3"/>
            <w:rPr>
              <w:rFonts w:ascii="Arial" w:eastAsiaTheme="minorEastAsia" w:hAnsi="Arial" w:cs="Arial"/>
              <w:b w:val="0"/>
              <w:noProof/>
              <w:sz w:val="20"/>
            </w:rPr>
          </w:pPr>
          <w:hyperlink w:anchor="_Toc115942620" w:history="1">
            <w:r w:rsidR="00276B89" w:rsidRPr="00276B89">
              <w:rPr>
                <w:rStyle w:val="Hyperlink"/>
                <w:rFonts w:ascii="Arial" w:hAnsi="Arial" w:cs="Arial"/>
                <w:noProof/>
                <w:sz w:val="20"/>
              </w:rPr>
              <w:t>Audit Objectives and Control Testing</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_Toc115942620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43</w:t>
            </w:r>
            <w:r w:rsidR="00276B89" w:rsidRPr="00276B89">
              <w:rPr>
                <w:rFonts w:ascii="Arial" w:hAnsi="Arial" w:cs="Arial"/>
                <w:noProof/>
                <w:webHidden/>
                <w:sz w:val="20"/>
              </w:rPr>
              <w:fldChar w:fldCharType="end"/>
            </w:r>
          </w:hyperlink>
        </w:p>
        <w:p w14:paraId="47D24D0F" w14:textId="7B9184D0" w:rsidR="00276B89" w:rsidRPr="00276B89" w:rsidRDefault="00EB1C72">
          <w:pPr>
            <w:pStyle w:val="TOC3"/>
            <w:rPr>
              <w:rFonts w:ascii="Arial" w:eastAsiaTheme="minorEastAsia" w:hAnsi="Arial" w:cs="Arial"/>
              <w:b w:val="0"/>
              <w:noProof/>
              <w:sz w:val="20"/>
            </w:rPr>
          </w:pPr>
          <w:hyperlink w:anchor="_Toc115942621" w:history="1">
            <w:r w:rsidR="00276B89" w:rsidRPr="00276B89">
              <w:rPr>
                <w:rStyle w:val="Hyperlink"/>
                <w:rFonts w:ascii="Arial" w:hAnsi="Arial" w:cs="Arial"/>
                <w:noProof/>
                <w:sz w:val="20"/>
              </w:rPr>
              <w:t>Suggested Audit Procedures – Compliance</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_Toc115942621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44</w:t>
            </w:r>
            <w:r w:rsidR="00276B89" w:rsidRPr="00276B89">
              <w:rPr>
                <w:rFonts w:ascii="Arial" w:hAnsi="Arial" w:cs="Arial"/>
                <w:noProof/>
                <w:webHidden/>
                <w:sz w:val="20"/>
              </w:rPr>
              <w:fldChar w:fldCharType="end"/>
            </w:r>
          </w:hyperlink>
        </w:p>
        <w:p w14:paraId="69E320F9" w14:textId="117B6B27" w:rsidR="00276B89" w:rsidRPr="00276B89" w:rsidRDefault="00EB1C72">
          <w:pPr>
            <w:pStyle w:val="TOC3"/>
            <w:rPr>
              <w:rFonts w:ascii="Arial" w:eastAsiaTheme="minorEastAsia" w:hAnsi="Arial" w:cs="Arial"/>
              <w:b w:val="0"/>
              <w:noProof/>
              <w:sz w:val="20"/>
            </w:rPr>
          </w:pPr>
          <w:hyperlink w:anchor="_Toc115942622" w:history="1">
            <w:r w:rsidR="00276B89" w:rsidRPr="00276B89">
              <w:rPr>
                <w:rStyle w:val="Hyperlink"/>
                <w:rFonts w:ascii="Arial" w:hAnsi="Arial" w:cs="Arial"/>
                <w:noProof/>
                <w:sz w:val="20"/>
              </w:rPr>
              <w:t>Audit Implications Summary</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_Toc115942622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44</w:t>
            </w:r>
            <w:r w:rsidR="00276B89" w:rsidRPr="00276B89">
              <w:rPr>
                <w:rFonts w:ascii="Arial" w:hAnsi="Arial" w:cs="Arial"/>
                <w:noProof/>
                <w:webHidden/>
                <w:sz w:val="20"/>
              </w:rPr>
              <w:fldChar w:fldCharType="end"/>
            </w:r>
          </w:hyperlink>
        </w:p>
        <w:p w14:paraId="4974D935" w14:textId="78B94023" w:rsidR="00276B89" w:rsidRPr="00276B89" w:rsidRDefault="00EB1C72">
          <w:pPr>
            <w:pStyle w:val="TOC2"/>
            <w:rPr>
              <w:rFonts w:eastAsiaTheme="minorEastAsia"/>
              <w:bCs w:val="0"/>
              <w:sz w:val="20"/>
              <w:szCs w:val="20"/>
            </w:rPr>
          </w:pPr>
          <w:hyperlink w:anchor="_Toc115942623" w:history="1">
            <w:r w:rsidR="00276B89" w:rsidRPr="00276B89">
              <w:rPr>
                <w:rStyle w:val="Hyperlink"/>
                <w:sz w:val="20"/>
                <w:szCs w:val="20"/>
              </w:rPr>
              <w:t>I.  PROCUREMENT AND SUSPENSION AND DEBARMENT</w:t>
            </w:r>
            <w:r w:rsidR="00276B89" w:rsidRPr="00276B89">
              <w:rPr>
                <w:webHidden/>
                <w:sz w:val="20"/>
                <w:szCs w:val="20"/>
              </w:rPr>
              <w:tab/>
            </w:r>
            <w:r w:rsidR="00276B89" w:rsidRPr="00276B89">
              <w:rPr>
                <w:webHidden/>
                <w:sz w:val="20"/>
                <w:szCs w:val="20"/>
              </w:rPr>
              <w:fldChar w:fldCharType="begin"/>
            </w:r>
            <w:r w:rsidR="00276B89" w:rsidRPr="00276B89">
              <w:rPr>
                <w:webHidden/>
                <w:sz w:val="20"/>
                <w:szCs w:val="20"/>
              </w:rPr>
              <w:instrText xml:space="preserve"> PAGEREF _Toc115942623 \h </w:instrText>
            </w:r>
            <w:r w:rsidR="00276B89" w:rsidRPr="00276B89">
              <w:rPr>
                <w:webHidden/>
                <w:sz w:val="20"/>
                <w:szCs w:val="20"/>
              </w:rPr>
            </w:r>
            <w:r w:rsidR="00276B89" w:rsidRPr="00276B89">
              <w:rPr>
                <w:webHidden/>
                <w:sz w:val="20"/>
                <w:szCs w:val="20"/>
              </w:rPr>
              <w:fldChar w:fldCharType="separate"/>
            </w:r>
            <w:r>
              <w:rPr>
                <w:webHidden/>
                <w:sz w:val="20"/>
                <w:szCs w:val="20"/>
              </w:rPr>
              <w:t>46</w:t>
            </w:r>
            <w:r w:rsidR="00276B89" w:rsidRPr="00276B89">
              <w:rPr>
                <w:webHidden/>
                <w:sz w:val="20"/>
                <w:szCs w:val="20"/>
              </w:rPr>
              <w:fldChar w:fldCharType="end"/>
            </w:r>
          </w:hyperlink>
        </w:p>
        <w:p w14:paraId="22BD9D8C" w14:textId="738E39D2" w:rsidR="00276B89" w:rsidRPr="00276B89" w:rsidRDefault="00EB1C72">
          <w:pPr>
            <w:pStyle w:val="TOC3"/>
            <w:rPr>
              <w:rFonts w:ascii="Arial" w:eastAsiaTheme="minorEastAsia" w:hAnsi="Arial" w:cs="Arial"/>
              <w:b w:val="0"/>
              <w:noProof/>
              <w:sz w:val="20"/>
            </w:rPr>
          </w:pPr>
          <w:hyperlink w:anchor="_Toc115942624" w:history="1">
            <w:r w:rsidR="00276B89" w:rsidRPr="00276B89">
              <w:rPr>
                <w:rStyle w:val="Hyperlink"/>
                <w:rFonts w:ascii="Arial" w:hAnsi="Arial" w:cs="Arial"/>
                <w:noProof/>
                <w:sz w:val="20"/>
              </w:rPr>
              <w:t>OMB Compliance Requirements – Procurement</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_Toc115942624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46</w:t>
            </w:r>
            <w:r w:rsidR="00276B89" w:rsidRPr="00276B89">
              <w:rPr>
                <w:rFonts w:ascii="Arial" w:hAnsi="Arial" w:cs="Arial"/>
                <w:noProof/>
                <w:webHidden/>
                <w:sz w:val="20"/>
              </w:rPr>
              <w:fldChar w:fldCharType="end"/>
            </w:r>
          </w:hyperlink>
        </w:p>
        <w:p w14:paraId="5F51CEC9" w14:textId="57FBE20C" w:rsidR="00276B89" w:rsidRPr="00276B89" w:rsidRDefault="00EB1C72">
          <w:pPr>
            <w:pStyle w:val="TOC3"/>
            <w:rPr>
              <w:rFonts w:ascii="Arial" w:eastAsiaTheme="minorEastAsia" w:hAnsi="Arial" w:cs="Arial"/>
              <w:b w:val="0"/>
              <w:noProof/>
              <w:sz w:val="20"/>
            </w:rPr>
          </w:pPr>
          <w:hyperlink w:anchor="_Toc115942625" w:history="1">
            <w:r w:rsidR="00276B89" w:rsidRPr="00276B89">
              <w:rPr>
                <w:rStyle w:val="Hyperlink"/>
                <w:rFonts w:ascii="Arial" w:hAnsi="Arial" w:cs="Arial"/>
                <w:noProof/>
                <w:sz w:val="20"/>
              </w:rPr>
              <w:t>OMB Compliance Requirements – Suspension and Debarment</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_Toc115942625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47</w:t>
            </w:r>
            <w:r w:rsidR="00276B89" w:rsidRPr="00276B89">
              <w:rPr>
                <w:rFonts w:ascii="Arial" w:hAnsi="Arial" w:cs="Arial"/>
                <w:noProof/>
                <w:webHidden/>
                <w:sz w:val="20"/>
              </w:rPr>
              <w:fldChar w:fldCharType="end"/>
            </w:r>
          </w:hyperlink>
        </w:p>
        <w:p w14:paraId="6076E76F" w14:textId="2C12D428" w:rsidR="00276B89" w:rsidRPr="00276B89" w:rsidRDefault="00EB1C72">
          <w:pPr>
            <w:pStyle w:val="TOC3"/>
            <w:rPr>
              <w:rFonts w:ascii="Arial" w:eastAsiaTheme="minorEastAsia" w:hAnsi="Arial" w:cs="Arial"/>
              <w:b w:val="0"/>
              <w:noProof/>
              <w:sz w:val="20"/>
            </w:rPr>
          </w:pPr>
          <w:hyperlink w:anchor="_Toc115942626" w:history="1">
            <w:r w:rsidR="00276B89" w:rsidRPr="00276B89">
              <w:rPr>
                <w:rStyle w:val="Hyperlink"/>
                <w:rFonts w:ascii="Arial" w:hAnsi="Arial" w:cs="Arial"/>
                <w:noProof/>
                <w:sz w:val="20"/>
              </w:rPr>
              <w:t>Additional Program Specific Information</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_Toc115942626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49</w:t>
            </w:r>
            <w:r w:rsidR="00276B89" w:rsidRPr="00276B89">
              <w:rPr>
                <w:rFonts w:ascii="Arial" w:hAnsi="Arial" w:cs="Arial"/>
                <w:noProof/>
                <w:webHidden/>
                <w:sz w:val="20"/>
              </w:rPr>
              <w:fldChar w:fldCharType="end"/>
            </w:r>
          </w:hyperlink>
        </w:p>
        <w:p w14:paraId="4C99752D" w14:textId="541608AE" w:rsidR="00276B89" w:rsidRPr="00276B89" w:rsidRDefault="00EB1C72">
          <w:pPr>
            <w:pStyle w:val="TOC3"/>
            <w:rPr>
              <w:rFonts w:ascii="Arial" w:eastAsiaTheme="minorEastAsia" w:hAnsi="Arial" w:cs="Arial"/>
              <w:b w:val="0"/>
              <w:noProof/>
              <w:sz w:val="20"/>
            </w:rPr>
          </w:pPr>
          <w:hyperlink w:anchor="_Toc115942627" w:history="1">
            <w:r w:rsidR="00276B89" w:rsidRPr="00276B89">
              <w:rPr>
                <w:rStyle w:val="Hyperlink"/>
                <w:rFonts w:ascii="Arial" w:hAnsi="Arial" w:cs="Arial"/>
                <w:noProof/>
                <w:sz w:val="20"/>
              </w:rPr>
              <w:t>Audit Objectives and Control Testing</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_Toc115942627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49</w:t>
            </w:r>
            <w:r w:rsidR="00276B89" w:rsidRPr="00276B89">
              <w:rPr>
                <w:rFonts w:ascii="Arial" w:hAnsi="Arial" w:cs="Arial"/>
                <w:noProof/>
                <w:webHidden/>
                <w:sz w:val="20"/>
              </w:rPr>
              <w:fldChar w:fldCharType="end"/>
            </w:r>
          </w:hyperlink>
        </w:p>
        <w:p w14:paraId="36310FBF" w14:textId="7F592F78" w:rsidR="00276B89" w:rsidRPr="00276B89" w:rsidRDefault="00EB1C72">
          <w:pPr>
            <w:pStyle w:val="TOC3"/>
            <w:rPr>
              <w:rFonts w:ascii="Arial" w:eastAsiaTheme="minorEastAsia" w:hAnsi="Arial" w:cs="Arial"/>
              <w:b w:val="0"/>
              <w:noProof/>
              <w:sz w:val="20"/>
            </w:rPr>
          </w:pPr>
          <w:hyperlink w:anchor="_Toc115942628" w:history="1">
            <w:r w:rsidR="00276B89" w:rsidRPr="00276B89">
              <w:rPr>
                <w:rStyle w:val="Hyperlink"/>
                <w:rFonts w:ascii="Arial" w:hAnsi="Arial" w:cs="Arial"/>
                <w:noProof/>
                <w:sz w:val="20"/>
              </w:rPr>
              <w:t>Suggested Audit Procedures – Compliance</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_Toc115942628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51</w:t>
            </w:r>
            <w:r w:rsidR="00276B89" w:rsidRPr="00276B89">
              <w:rPr>
                <w:rFonts w:ascii="Arial" w:hAnsi="Arial" w:cs="Arial"/>
                <w:noProof/>
                <w:webHidden/>
                <w:sz w:val="20"/>
              </w:rPr>
              <w:fldChar w:fldCharType="end"/>
            </w:r>
          </w:hyperlink>
        </w:p>
        <w:p w14:paraId="1335E868" w14:textId="4A056F5B" w:rsidR="00276B89" w:rsidRPr="00276B89" w:rsidRDefault="00EB1C72">
          <w:pPr>
            <w:pStyle w:val="TOC3"/>
            <w:rPr>
              <w:rFonts w:ascii="Arial" w:eastAsiaTheme="minorEastAsia" w:hAnsi="Arial" w:cs="Arial"/>
              <w:b w:val="0"/>
              <w:noProof/>
              <w:sz w:val="20"/>
            </w:rPr>
          </w:pPr>
          <w:hyperlink w:anchor="_Toc115942629" w:history="1">
            <w:r w:rsidR="00276B89" w:rsidRPr="00276B89">
              <w:rPr>
                <w:rStyle w:val="Hyperlink"/>
                <w:rFonts w:ascii="Arial" w:hAnsi="Arial" w:cs="Arial"/>
                <w:noProof/>
                <w:sz w:val="20"/>
              </w:rPr>
              <w:t>Audit Implications Summary</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_Toc115942629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52</w:t>
            </w:r>
            <w:r w:rsidR="00276B89" w:rsidRPr="00276B89">
              <w:rPr>
                <w:rFonts w:ascii="Arial" w:hAnsi="Arial" w:cs="Arial"/>
                <w:noProof/>
                <w:webHidden/>
                <w:sz w:val="20"/>
              </w:rPr>
              <w:fldChar w:fldCharType="end"/>
            </w:r>
          </w:hyperlink>
        </w:p>
        <w:p w14:paraId="1621A557" w14:textId="3FB722C7" w:rsidR="00276B89" w:rsidRPr="00276B89" w:rsidRDefault="00EB1C72">
          <w:pPr>
            <w:pStyle w:val="TOC2"/>
            <w:rPr>
              <w:rFonts w:eastAsiaTheme="minorEastAsia"/>
              <w:bCs w:val="0"/>
              <w:sz w:val="20"/>
              <w:szCs w:val="20"/>
            </w:rPr>
          </w:pPr>
          <w:hyperlink w:anchor="_Toc115942630" w:history="1">
            <w:r w:rsidR="00276B89" w:rsidRPr="00276B89">
              <w:rPr>
                <w:rStyle w:val="Hyperlink"/>
                <w:sz w:val="20"/>
                <w:szCs w:val="20"/>
              </w:rPr>
              <w:t>L.  REPORTING</w:t>
            </w:r>
            <w:r w:rsidR="00276B89" w:rsidRPr="00276B89">
              <w:rPr>
                <w:webHidden/>
                <w:sz w:val="20"/>
                <w:szCs w:val="20"/>
              </w:rPr>
              <w:tab/>
            </w:r>
            <w:r w:rsidR="00276B89" w:rsidRPr="00276B89">
              <w:rPr>
                <w:webHidden/>
                <w:sz w:val="20"/>
                <w:szCs w:val="20"/>
              </w:rPr>
              <w:fldChar w:fldCharType="begin"/>
            </w:r>
            <w:r w:rsidR="00276B89" w:rsidRPr="00276B89">
              <w:rPr>
                <w:webHidden/>
                <w:sz w:val="20"/>
                <w:szCs w:val="20"/>
              </w:rPr>
              <w:instrText xml:space="preserve"> PAGEREF _Toc115942630 \h </w:instrText>
            </w:r>
            <w:r w:rsidR="00276B89" w:rsidRPr="00276B89">
              <w:rPr>
                <w:webHidden/>
                <w:sz w:val="20"/>
                <w:szCs w:val="20"/>
              </w:rPr>
            </w:r>
            <w:r w:rsidR="00276B89" w:rsidRPr="00276B89">
              <w:rPr>
                <w:webHidden/>
                <w:sz w:val="20"/>
                <w:szCs w:val="20"/>
              </w:rPr>
              <w:fldChar w:fldCharType="separate"/>
            </w:r>
            <w:r>
              <w:rPr>
                <w:webHidden/>
                <w:sz w:val="20"/>
                <w:szCs w:val="20"/>
              </w:rPr>
              <w:t>54</w:t>
            </w:r>
            <w:r w:rsidR="00276B89" w:rsidRPr="00276B89">
              <w:rPr>
                <w:webHidden/>
                <w:sz w:val="20"/>
                <w:szCs w:val="20"/>
              </w:rPr>
              <w:fldChar w:fldCharType="end"/>
            </w:r>
          </w:hyperlink>
        </w:p>
        <w:p w14:paraId="23D0BFFE" w14:textId="3D3A634C" w:rsidR="00276B89" w:rsidRPr="00276B89" w:rsidRDefault="00EB1C72">
          <w:pPr>
            <w:pStyle w:val="TOC3"/>
            <w:rPr>
              <w:rFonts w:ascii="Arial" w:eastAsiaTheme="minorEastAsia" w:hAnsi="Arial" w:cs="Arial"/>
              <w:b w:val="0"/>
              <w:noProof/>
              <w:sz w:val="20"/>
            </w:rPr>
          </w:pPr>
          <w:hyperlink w:anchor="_Toc115942631" w:history="1">
            <w:r w:rsidR="00276B89" w:rsidRPr="00276B89">
              <w:rPr>
                <w:rStyle w:val="Hyperlink"/>
                <w:rFonts w:ascii="Arial" w:hAnsi="Arial" w:cs="Arial"/>
                <w:noProof/>
                <w:sz w:val="20"/>
              </w:rPr>
              <w:t>OMB Compliance Requirements</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_Toc115942631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54</w:t>
            </w:r>
            <w:r w:rsidR="00276B89" w:rsidRPr="00276B89">
              <w:rPr>
                <w:rFonts w:ascii="Arial" w:hAnsi="Arial" w:cs="Arial"/>
                <w:noProof/>
                <w:webHidden/>
                <w:sz w:val="20"/>
              </w:rPr>
              <w:fldChar w:fldCharType="end"/>
            </w:r>
          </w:hyperlink>
        </w:p>
        <w:p w14:paraId="1A622E65" w14:textId="793F8E7D" w:rsidR="00276B89" w:rsidRPr="00276B89" w:rsidRDefault="00EB1C72">
          <w:pPr>
            <w:pStyle w:val="TOC3"/>
            <w:rPr>
              <w:rFonts w:ascii="Arial" w:eastAsiaTheme="minorEastAsia" w:hAnsi="Arial" w:cs="Arial"/>
              <w:b w:val="0"/>
              <w:noProof/>
              <w:sz w:val="20"/>
            </w:rPr>
          </w:pPr>
          <w:hyperlink w:anchor="_Toc115942632" w:history="1">
            <w:r w:rsidR="00276B89" w:rsidRPr="00276B89">
              <w:rPr>
                <w:rStyle w:val="Hyperlink"/>
                <w:rFonts w:ascii="Arial" w:hAnsi="Arial" w:cs="Arial"/>
                <w:noProof/>
                <w:sz w:val="20"/>
              </w:rPr>
              <w:t>Additional Program Specific Information</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_Toc115942632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59</w:t>
            </w:r>
            <w:r w:rsidR="00276B89" w:rsidRPr="00276B89">
              <w:rPr>
                <w:rFonts w:ascii="Arial" w:hAnsi="Arial" w:cs="Arial"/>
                <w:noProof/>
                <w:webHidden/>
                <w:sz w:val="20"/>
              </w:rPr>
              <w:fldChar w:fldCharType="end"/>
            </w:r>
          </w:hyperlink>
        </w:p>
        <w:p w14:paraId="439A983B" w14:textId="657C8E09" w:rsidR="00276B89" w:rsidRPr="00276B89" w:rsidRDefault="00EB1C72">
          <w:pPr>
            <w:pStyle w:val="TOC3"/>
            <w:rPr>
              <w:rFonts w:ascii="Arial" w:eastAsiaTheme="minorEastAsia" w:hAnsi="Arial" w:cs="Arial"/>
              <w:b w:val="0"/>
              <w:noProof/>
              <w:sz w:val="20"/>
            </w:rPr>
          </w:pPr>
          <w:hyperlink w:anchor="_Toc115942633" w:history="1">
            <w:r w:rsidR="00276B89" w:rsidRPr="00276B89">
              <w:rPr>
                <w:rStyle w:val="Hyperlink"/>
                <w:rFonts w:ascii="Arial" w:hAnsi="Arial" w:cs="Arial"/>
                <w:noProof/>
                <w:sz w:val="20"/>
              </w:rPr>
              <w:t>Audit Objectives and Control Testing</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_Toc115942633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59</w:t>
            </w:r>
            <w:r w:rsidR="00276B89" w:rsidRPr="00276B89">
              <w:rPr>
                <w:rFonts w:ascii="Arial" w:hAnsi="Arial" w:cs="Arial"/>
                <w:noProof/>
                <w:webHidden/>
                <w:sz w:val="20"/>
              </w:rPr>
              <w:fldChar w:fldCharType="end"/>
            </w:r>
          </w:hyperlink>
        </w:p>
        <w:p w14:paraId="1CCEEA79" w14:textId="08B5973C" w:rsidR="00276B89" w:rsidRPr="00276B89" w:rsidRDefault="00EB1C72">
          <w:pPr>
            <w:pStyle w:val="TOC3"/>
            <w:rPr>
              <w:rFonts w:ascii="Arial" w:eastAsiaTheme="minorEastAsia" w:hAnsi="Arial" w:cs="Arial"/>
              <w:b w:val="0"/>
              <w:noProof/>
              <w:sz w:val="20"/>
            </w:rPr>
          </w:pPr>
          <w:hyperlink w:anchor="_Toc115942634" w:history="1">
            <w:r w:rsidR="00276B89" w:rsidRPr="00276B89">
              <w:rPr>
                <w:rStyle w:val="Hyperlink"/>
                <w:rFonts w:ascii="Arial" w:hAnsi="Arial" w:cs="Arial"/>
                <w:noProof/>
                <w:sz w:val="20"/>
              </w:rPr>
              <w:t>Suggested Audit Procedures – Compliance</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_Toc115942634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60</w:t>
            </w:r>
            <w:r w:rsidR="00276B89" w:rsidRPr="00276B89">
              <w:rPr>
                <w:rFonts w:ascii="Arial" w:hAnsi="Arial" w:cs="Arial"/>
                <w:noProof/>
                <w:webHidden/>
                <w:sz w:val="20"/>
              </w:rPr>
              <w:fldChar w:fldCharType="end"/>
            </w:r>
          </w:hyperlink>
        </w:p>
        <w:p w14:paraId="4905F208" w14:textId="3F8B3927" w:rsidR="00276B89" w:rsidRPr="00276B89" w:rsidRDefault="00EB1C72">
          <w:pPr>
            <w:pStyle w:val="TOC3"/>
            <w:rPr>
              <w:rFonts w:ascii="Arial" w:eastAsiaTheme="minorEastAsia" w:hAnsi="Arial" w:cs="Arial"/>
              <w:b w:val="0"/>
              <w:noProof/>
              <w:sz w:val="20"/>
            </w:rPr>
          </w:pPr>
          <w:hyperlink w:anchor="_Toc115942635" w:history="1">
            <w:r w:rsidR="00276B89" w:rsidRPr="00276B89">
              <w:rPr>
                <w:rStyle w:val="Hyperlink"/>
                <w:rFonts w:ascii="Arial" w:hAnsi="Arial" w:cs="Arial"/>
                <w:noProof/>
                <w:sz w:val="20"/>
              </w:rPr>
              <w:t>Audit Implications Summary</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_Toc115942635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62</w:t>
            </w:r>
            <w:r w:rsidR="00276B89" w:rsidRPr="00276B89">
              <w:rPr>
                <w:rFonts w:ascii="Arial" w:hAnsi="Arial" w:cs="Arial"/>
                <w:noProof/>
                <w:webHidden/>
                <w:sz w:val="20"/>
              </w:rPr>
              <w:fldChar w:fldCharType="end"/>
            </w:r>
          </w:hyperlink>
        </w:p>
        <w:p w14:paraId="04230117" w14:textId="6F419925" w:rsidR="00276B89" w:rsidRPr="00276B89" w:rsidRDefault="00EB1C72">
          <w:pPr>
            <w:pStyle w:val="TOC2"/>
            <w:rPr>
              <w:rFonts w:eastAsiaTheme="minorEastAsia"/>
              <w:bCs w:val="0"/>
              <w:sz w:val="20"/>
              <w:szCs w:val="20"/>
            </w:rPr>
          </w:pPr>
          <w:hyperlink w:anchor="_Toc115942636" w:history="1">
            <w:r w:rsidR="00276B89" w:rsidRPr="00276B89">
              <w:rPr>
                <w:rStyle w:val="Hyperlink"/>
                <w:sz w:val="20"/>
                <w:szCs w:val="20"/>
              </w:rPr>
              <w:t>M.  SUBRECIPIENT MONITORING</w:t>
            </w:r>
            <w:r w:rsidR="00276B89" w:rsidRPr="00276B89">
              <w:rPr>
                <w:webHidden/>
                <w:sz w:val="20"/>
                <w:szCs w:val="20"/>
              </w:rPr>
              <w:tab/>
            </w:r>
            <w:r w:rsidR="00276B89" w:rsidRPr="00276B89">
              <w:rPr>
                <w:webHidden/>
                <w:sz w:val="20"/>
                <w:szCs w:val="20"/>
              </w:rPr>
              <w:fldChar w:fldCharType="begin"/>
            </w:r>
            <w:r w:rsidR="00276B89" w:rsidRPr="00276B89">
              <w:rPr>
                <w:webHidden/>
                <w:sz w:val="20"/>
                <w:szCs w:val="20"/>
              </w:rPr>
              <w:instrText xml:space="preserve"> PAGEREF _Toc115942636 \h </w:instrText>
            </w:r>
            <w:r w:rsidR="00276B89" w:rsidRPr="00276B89">
              <w:rPr>
                <w:webHidden/>
                <w:sz w:val="20"/>
                <w:szCs w:val="20"/>
              </w:rPr>
            </w:r>
            <w:r w:rsidR="00276B89" w:rsidRPr="00276B89">
              <w:rPr>
                <w:webHidden/>
                <w:sz w:val="20"/>
                <w:szCs w:val="20"/>
              </w:rPr>
              <w:fldChar w:fldCharType="separate"/>
            </w:r>
            <w:r>
              <w:rPr>
                <w:webHidden/>
                <w:sz w:val="20"/>
                <w:szCs w:val="20"/>
              </w:rPr>
              <w:t>63</w:t>
            </w:r>
            <w:r w:rsidR="00276B89" w:rsidRPr="00276B89">
              <w:rPr>
                <w:webHidden/>
                <w:sz w:val="20"/>
                <w:szCs w:val="20"/>
              </w:rPr>
              <w:fldChar w:fldCharType="end"/>
            </w:r>
          </w:hyperlink>
        </w:p>
        <w:p w14:paraId="4DED7D36" w14:textId="43D70E9D" w:rsidR="00276B89" w:rsidRPr="00276B89" w:rsidRDefault="00EB1C72">
          <w:pPr>
            <w:pStyle w:val="TOC3"/>
            <w:rPr>
              <w:rFonts w:ascii="Arial" w:eastAsiaTheme="minorEastAsia" w:hAnsi="Arial" w:cs="Arial"/>
              <w:b w:val="0"/>
              <w:noProof/>
              <w:sz w:val="20"/>
            </w:rPr>
          </w:pPr>
          <w:hyperlink w:anchor="_Toc115942637" w:history="1">
            <w:r w:rsidR="00276B89" w:rsidRPr="00276B89">
              <w:rPr>
                <w:rStyle w:val="Hyperlink"/>
                <w:rFonts w:ascii="Arial" w:hAnsi="Arial" w:cs="Arial"/>
                <w:noProof/>
                <w:sz w:val="20"/>
              </w:rPr>
              <w:t>OMB Compliance Requirements</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_Toc115942637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63</w:t>
            </w:r>
            <w:r w:rsidR="00276B89" w:rsidRPr="00276B89">
              <w:rPr>
                <w:rFonts w:ascii="Arial" w:hAnsi="Arial" w:cs="Arial"/>
                <w:noProof/>
                <w:webHidden/>
                <w:sz w:val="20"/>
              </w:rPr>
              <w:fldChar w:fldCharType="end"/>
            </w:r>
          </w:hyperlink>
        </w:p>
        <w:p w14:paraId="2AE960C0" w14:textId="72855129" w:rsidR="00276B89" w:rsidRPr="00276B89" w:rsidRDefault="00EB1C72">
          <w:pPr>
            <w:pStyle w:val="TOC3"/>
            <w:rPr>
              <w:rFonts w:ascii="Arial" w:eastAsiaTheme="minorEastAsia" w:hAnsi="Arial" w:cs="Arial"/>
              <w:b w:val="0"/>
              <w:noProof/>
              <w:sz w:val="20"/>
            </w:rPr>
          </w:pPr>
          <w:hyperlink w:anchor="_Toc115942638" w:history="1">
            <w:r w:rsidR="00276B89" w:rsidRPr="00276B89">
              <w:rPr>
                <w:rStyle w:val="Hyperlink"/>
                <w:rFonts w:ascii="Arial" w:hAnsi="Arial" w:cs="Arial"/>
                <w:noProof/>
                <w:sz w:val="20"/>
              </w:rPr>
              <w:t>Additional Program Specific Information</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_Toc115942638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64</w:t>
            </w:r>
            <w:r w:rsidR="00276B89" w:rsidRPr="00276B89">
              <w:rPr>
                <w:rFonts w:ascii="Arial" w:hAnsi="Arial" w:cs="Arial"/>
                <w:noProof/>
                <w:webHidden/>
                <w:sz w:val="20"/>
              </w:rPr>
              <w:fldChar w:fldCharType="end"/>
            </w:r>
          </w:hyperlink>
        </w:p>
        <w:p w14:paraId="56318150" w14:textId="29E8796E" w:rsidR="00276B89" w:rsidRPr="00276B89" w:rsidRDefault="00EB1C72">
          <w:pPr>
            <w:pStyle w:val="TOC3"/>
            <w:rPr>
              <w:rFonts w:ascii="Arial" w:eastAsiaTheme="minorEastAsia" w:hAnsi="Arial" w:cs="Arial"/>
              <w:b w:val="0"/>
              <w:noProof/>
              <w:sz w:val="20"/>
            </w:rPr>
          </w:pPr>
          <w:hyperlink w:anchor="_Toc115942639" w:history="1">
            <w:r w:rsidR="00276B89" w:rsidRPr="00276B89">
              <w:rPr>
                <w:rStyle w:val="Hyperlink"/>
                <w:rFonts w:ascii="Arial" w:hAnsi="Arial" w:cs="Arial"/>
                <w:noProof/>
                <w:sz w:val="20"/>
              </w:rPr>
              <w:t>Audit Objectives and Control Testing</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_Toc115942639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65</w:t>
            </w:r>
            <w:r w:rsidR="00276B89" w:rsidRPr="00276B89">
              <w:rPr>
                <w:rFonts w:ascii="Arial" w:hAnsi="Arial" w:cs="Arial"/>
                <w:noProof/>
                <w:webHidden/>
                <w:sz w:val="20"/>
              </w:rPr>
              <w:fldChar w:fldCharType="end"/>
            </w:r>
          </w:hyperlink>
        </w:p>
        <w:p w14:paraId="443AB28E" w14:textId="6CB1F1D3" w:rsidR="00276B89" w:rsidRPr="00276B89" w:rsidRDefault="00EB1C72">
          <w:pPr>
            <w:pStyle w:val="TOC3"/>
            <w:rPr>
              <w:rFonts w:ascii="Arial" w:eastAsiaTheme="minorEastAsia" w:hAnsi="Arial" w:cs="Arial"/>
              <w:b w:val="0"/>
              <w:noProof/>
              <w:sz w:val="20"/>
            </w:rPr>
          </w:pPr>
          <w:hyperlink w:anchor="_Toc115942640" w:history="1">
            <w:r w:rsidR="00276B89" w:rsidRPr="00276B89">
              <w:rPr>
                <w:rStyle w:val="Hyperlink"/>
                <w:rFonts w:ascii="Arial" w:hAnsi="Arial" w:cs="Arial"/>
                <w:noProof/>
                <w:sz w:val="20"/>
              </w:rPr>
              <w:t>Suggested Audit Procedures – Compliance</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_Toc115942640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66</w:t>
            </w:r>
            <w:r w:rsidR="00276B89" w:rsidRPr="00276B89">
              <w:rPr>
                <w:rFonts w:ascii="Arial" w:hAnsi="Arial" w:cs="Arial"/>
                <w:noProof/>
                <w:webHidden/>
                <w:sz w:val="20"/>
              </w:rPr>
              <w:fldChar w:fldCharType="end"/>
            </w:r>
          </w:hyperlink>
        </w:p>
        <w:p w14:paraId="1AE0B8EC" w14:textId="17D08A3E" w:rsidR="00276B89" w:rsidRPr="00276B89" w:rsidRDefault="00EB1C72">
          <w:pPr>
            <w:pStyle w:val="TOC3"/>
            <w:rPr>
              <w:rFonts w:ascii="Arial" w:eastAsiaTheme="minorEastAsia" w:hAnsi="Arial" w:cs="Arial"/>
              <w:b w:val="0"/>
              <w:noProof/>
              <w:sz w:val="20"/>
            </w:rPr>
          </w:pPr>
          <w:hyperlink w:anchor="_Toc115942641" w:history="1">
            <w:r w:rsidR="00276B89" w:rsidRPr="00276B89">
              <w:rPr>
                <w:rStyle w:val="Hyperlink"/>
                <w:rFonts w:ascii="Arial" w:hAnsi="Arial" w:cs="Arial"/>
                <w:noProof/>
                <w:sz w:val="20"/>
              </w:rPr>
              <w:t>Audit Implications Summary</w:t>
            </w:r>
            <w:r w:rsidR="00276B89" w:rsidRPr="00276B89">
              <w:rPr>
                <w:rFonts w:ascii="Arial" w:hAnsi="Arial" w:cs="Arial"/>
                <w:noProof/>
                <w:webHidden/>
                <w:sz w:val="20"/>
              </w:rPr>
              <w:tab/>
            </w:r>
            <w:r w:rsidR="00276B89" w:rsidRPr="00276B89">
              <w:rPr>
                <w:rFonts w:ascii="Arial" w:hAnsi="Arial" w:cs="Arial"/>
                <w:noProof/>
                <w:webHidden/>
                <w:sz w:val="20"/>
              </w:rPr>
              <w:fldChar w:fldCharType="begin"/>
            </w:r>
            <w:r w:rsidR="00276B89" w:rsidRPr="00276B89">
              <w:rPr>
                <w:rFonts w:ascii="Arial" w:hAnsi="Arial" w:cs="Arial"/>
                <w:noProof/>
                <w:webHidden/>
                <w:sz w:val="20"/>
              </w:rPr>
              <w:instrText xml:space="preserve"> PAGEREF _Toc115942641 \h </w:instrText>
            </w:r>
            <w:r w:rsidR="00276B89" w:rsidRPr="00276B89">
              <w:rPr>
                <w:rFonts w:ascii="Arial" w:hAnsi="Arial" w:cs="Arial"/>
                <w:noProof/>
                <w:webHidden/>
                <w:sz w:val="20"/>
              </w:rPr>
            </w:r>
            <w:r w:rsidR="00276B89" w:rsidRPr="00276B89">
              <w:rPr>
                <w:rFonts w:ascii="Arial" w:hAnsi="Arial" w:cs="Arial"/>
                <w:noProof/>
                <w:webHidden/>
                <w:sz w:val="20"/>
              </w:rPr>
              <w:fldChar w:fldCharType="separate"/>
            </w:r>
            <w:r>
              <w:rPr>
                <w:rFonts w:ascii="Arial" w:hAnsi="Arial" w:cs="Arial"/>
                <w:noProof/>
                <w:webHidden/>
                <w:sz w:val="20"/>
              </w:rPr>
              <w:t>66</w:t>
            </w:r>
            <w:r w:rsidR="00276B89" w:rsidRPr="00276B89">
              <w:rPr>
                <w:rFonts w:ascii="Arial" w:hAnsi="Arial" w:cs="Arial"/>
                <w:noProof/>
                <w:webHidden/>
                <w:sz w:val="20"/>
              </w:rPr>
              <w:fldChar w:fldCharType="end"/>
            </w:r>
          </w:hyperlink>
        </w:p>
        <w:p w14:paraId="3A22E637" w14:textId="2CA7CD1D" w:rsidR="00276B89" w:rsidRPr="00276B89" w:rsidRDefault="00EB1C72">
          <w:pPr>
            <w:pStyle w:val="TOC2"/>
            <w:rPr>
              <w:rFonts w:eastAsiaTheme="minorEastAsia"/>
              <w:bCs w:val="0"/>
              <w:sz w:val="20"/>
              <w:szCs w:val="20"/>
            </w:rPr>
          </w:pPr>
          <w:hyperlink w:anchor="_Toc115942642" w:history="1">
            <w:r w:rsidR="00276B89" w:rsidRPr="00276B89">
              <w:rPr>
                <w:rStyle w:val="Hyperlink"/>
                <w:sz w:val="20"/>
                <w:szCs w:val="20"/>
              </w:rPr>
              <w:t>Program Testing Conclusion</w:t>
            </w:r>
            <w:r w:rsidR="00276B89" w:rsidRPr="00276B89">
              <w:rPr>
                <w:webHidden/>
                <w:sz w:val="20"/>
                <w:szCs w:val="20"/>
              </w:rPr>
              <w:tab/>
            </w:r>
            <w:r w:rsidR="00276B89" w:rsidRPr="00276B89">
              <w:rPr>
                <w:webHidden/>
                <w:sz w:val="20"/>
                <w:szCs w:val="20"/>
              </w:rPr>
              <w:fldChar w:fldCharType="begin"/>
            </w:r>
            <w:r w:rsidR="00276B89" w:rsidRPr="00276B89">
              <w:rPr>
                <w:webHidden/>
                <w:sz w:val="20"/>
                <w:szCs w:val="20"/>
              </w:rPr>
              <w:instrText xml:space="preserve"> PAGEREF _Toc115942642 \h </w:instrText>
            </w:r>
            <w:r w:rsidR="00276B89" w:rsidRPr="00276B89">
              <w:rPr>
                <w:webHidden/>
                <w:sz w:val="20"/>
                <w:szCs w:val="20"/>
              </w:rPr>
            </w:r>
            <w:r w:rsidR="00276B89" w:rsidRPr="00276B89">
              <w:rPr>
                <w:webHidden/>
                <w:sz w:val="20"/>
                <w:szCs w:val="20"/>
              </w:rPr>
              <w:fldChar w:fldCharType="separate"/>
            </w:r>
            <w:r>
              <w:rPr>
                <w:webHidden/>
                <w:sz w:val="20"/>
                <w:szCs w:val="20"/>
              </w:rPr>
              <w:t>68</w:t>
            </w:r>
            <w:r w:rsidR="00276B89" w:rsidRPr="00276B89">
              <w:rPr>
                <w:webHidden/>
                <w:sz w:val="20"/>
                <w:szCs w:val="20"/>
              </w:rPr>
              <w:fldChar w:fldCharType="end"/>
            </w:r>
          </w:hyperlink>
        </w:p>
        <w:p w14:paraId="03C2BB18" w14:textId="32A2F91D" w:rsidR="00084EE0" w:rsidRPr="00F00D94" w:rsidRDefault="00084EE0" w:rsidP="006672EA">
          <w:pPr>
            <w:jc w:val="both"/>
            <w:rPr>
              <w:rFonts w:ascii="Arial" w:hAnsi="Arial" w:cs="Arial"/>
            </w:rPr>
          </w:pPr>
          <w:r w:rsidRPr="00276B89">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16"/>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6" w:name="_Toc438816432"/>
      <w:bookmarkStart w:id="7" w:name="_Toc115942591"/>
      <w:r w:rsidRPr="00F00D94">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 in particular, review note 6 which discusses tailoring the matrix assessments.</w:t>
            </w:r>
          </w:p>
        </w:tc>
      </w:tr>
      <w:tr w:rsidR="0010435B" w:rsidRPr="00F00D94"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10435B" w:rsidRPr="00F00D94"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Applicable per Compl.</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Federal materiality by compl. requirement</w:t>
            </w:r>
          </w:p>
        </w:tc>
      </w:tr>
      <w:tr w:rsidR="0010435B" w:rsidRPr="00F00D94"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10435B" w:rsidRPr="00F00D94"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10435B" w:rsidRPr="00F00D94"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10435B" w:rsidRPr="00F00D94"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10435B" w:rsidRPr="00F00D94"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4787D204" w:rsidR="0010435B" w:rsidRPr="00F00D94" w:rsidRDefault="00522D09"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10435B" w:rsidRPr="00F00D94"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3075AB47" w:rsidR="0010435B" w:rsidRPr="00F00D94" w:rsidRDefault="00522D09"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470311E" w14:textId="77777777" w:rsidTr="00522D09">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1C73BA7F" w:rsidR="0010435B" w:rsidRPr="00F00D94" w:rsidRDefault="00522D09"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521498E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7B399F64" w14:textId="69B7424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CA4AD3F"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049735B6"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37F4494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31AC118B"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3129D8CA"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D6E8850" w14:textId="367693A8" w:rsidR="0010435B" w:rsidRPr="00F00D94" w:rsidRDefault="0010435B" w:rsidP="006672EA">
            <w:pPr>
              <w:jc w:val="center"/>
              <w:rPr>
                <w:rFonts w:ascii="Arial" w:hAnsi="Arial" w:cs="Arial"/>
                <w:sz w:val="20"/>
              </w:rPr>
            </w:pPr>
          </w:p>
        </w:tc>
      </w:tr>
      <w:tr w:rsidR="0010435B" w:rsidRPr="00F00D94" w14:paraId="005EC2F3" w14:textId="77777777" w:rsidTr="00522D09">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7F7F7F" w:themeFill="text1" w:themeFillTint="80"/>
            <w:noWrap/>
          </w:tcPr>
          <w:p w14:paraId="45F9BE26"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900A042"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4810BF65"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458B611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F19135E"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5008A65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6E2ED8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7ABEAF7A" w14:textId="77777777" w:rsidR="0010435B" w:rsidRPr="00F00D94" w:rsidRDefault="0010435B" w:rsidP="006672EA">
            <w:pPr>
              <w:jc w:val="center"/>
              <w:rPr>
                <w:rFonts w:ascii="Arial" w:hAnsi="Arial" w:cs="Arial"/>
                <w:sz w:val="20"/>
              </w:rPr>
            </w:pPr>
          </w:p>
        </w:tc>
      </w:tr>
      <w:tr w:rsidR="0010435B" w:rsidRPr="00F00D94" w14:paraId="248354A0" w14:textId="77777777" w:rsidTr="00522D09">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3BCD4BD4" w:rsidR="0010435B" w:rsidRPr="00F00D94" w:rsidRDefault="00522D09"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11E2212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2B1D8F82" w14:textId="7E0B632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81741A0"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1F3D50F9"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581CA1"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54EFA7E"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21ECA1D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E09AECB" w14:textId="15E7C82E" w:rsidR="0010435B" w:rsidRPr="00F00D94" w:rsidRDefault="0010435B" w:rsidP="006672EA">
            <w:pPr>
              <w:jc w:val="center"/>
              <w:rPr>
                <w:rFonts w:ascii="Arial" w:hAnsi="Arial" w:cs="Arial"/>
                <w:sz w:val="20"/>
              </w:rPr>
            </w:pPr>
          </w:p>
        </w:tc>
      </w:tr>
      <w:tr w:rsidR="0010435B" w:rsidRPr="00F00D94" w14:paraId="75696477" w14:textId="77777777" w:rsidTr="00522D09">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6ADA2093" w:rsidR="0010435B" w:rsidRPr="00F00D94" w:rsidRDefault="00522D09"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40139F9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BDE8972" w14:textId="77F74DAC"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334BC497"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CC1971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29CE3D13"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809D525"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5C42E51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D5AF4AE" w14:textId="656BABD4" w:rsidR="0010435B" w:rsidRPr="00F00D94" w:rsidRDefault="0010435B" w:rsidP="006672EA">
            <w:pPr>
              <w:jc w:val="center"/>
              <w:rPr>
                <w:rFonts w:ascii="Arial" w:hAnsi="Arial" w:cs="Arial"/>
                <w:sz w:val="20"/>
              </w:rPr>
            </w:pPr>
          </w:p>
        </w:tc>
      </w:tr>
      <w:tr w:rsidR="0010435B" w:rsidRPr="00F00D94" w14:paraId="43A8818F" w14:textId="77777777" w:rsidTr="00522D09">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628A1926" w:rsidR="0010435B" w:rsidRPr="00F00D94" w:rsidRDefault="00522D09"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81198E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623FDFC" w14:textId="6EABD70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7DD3702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3819C0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4C4E2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205F072F"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8A367D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FD2C3A6" w14:textId="516520C7" w:rsidR="0010435B" w:rsidRPr="00F00D94" w:rsidRDefault="0010435B" w:rsidP="006672EA">
            <w:pPr>
              <w:jc w:val="center"/>
              <w:rPr>
                <w:rFonts w:ascii="Arial" w:hAnsi="Arial" w:cs="Arial"/>
                <w:sz w:val="20"/>
              </w:rPr>
            </w:pPr>
          </w:p>
        </w:tc>
      </w:tr>
      <w:tr w:rsidR="0010435B" w:rsidRPr="00F00D94"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52E78DAD" w:rsidR="0010435B" w:rsidRPr="00F00D94" w:rsidRDefault="00522D09"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65E57F6F" w:rsidR="0010435B" w:rsidRPr="00F00D94" w:rsidRDefault="00522D09"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16987E1E" w14:textId="77777777" w:rsidTr="00522D09">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6C26C73B" w:rsidR="0010435B" w:rsidRPr="00F00D94" w:rsidRDefault="00522D09"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ACE8077"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F2336B7" w14:textId="2FA7483D"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4F6CA06"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2AB0FCD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62E12BA2"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353CA0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07A691F"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31FD0C3" w14:textId="3F8B0CC0" w:rsidR="0010435B" w:rsidRPr="00F00D94" w:rsidRDefault="0010435B" w:rsidP="006672EA">
            <w:pPr>
              <w:jc w:val="center"/>
              <w:rPr>
                <w:rFonts w:ascii="Arial" w:hAnsi="Arial" w:cs="Arial"/>
                <w:sz w:val="20"/>
              </w:rPr>
            </w:pPr>
          </w:p>
        </w:tc>
      </w:tr>
      <w:tr w:rsidR="0010435B" w:rsidRPr="00F00D94"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F00D94" w:rsidRDefault="0010435B" w:rsidP="006672EA">
            <w:pPr>
              <w:jc w:val="center"/>
              <w:rPr>
                <w:rFonts w:ascii="Arial" w:hAnsi="Arial" w:cs="Arial"/>
                <w:sz w:val="20"/>
              </w:rPr>
            </w:pPr>
          </w:p>
        </w:tc>
      </w:tr>
      <w:tr w:rsidR="0010435B" w:rsidRPr="00F00D94"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088F6894" w:rsidR="0010435B" w:rsidRPr="00F00D94" w:rsidRDefault="00522D09"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6DA77D1A" w:rsidR="0010435B" w:rsidRPr="00F00D94" w:rsidRDefault="00522D09"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B68C39A" w14:textId="77777777" w:rsidTr="00522D09">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5474EB41" w:rsidR="0010435B" w:rsidRPr="00F00D94" w:rsidRDefault="0010435B" w:rsidP="00522D09">
            <w:pPr>
              <w:jc w:val="both"/>
              <w:rPr>
                <w:rFonts w:ascii="Arial" w:hAnsi="Arial" w:cs="Arial"/>
                <w:b/>
                <w:bCs/>
                <w:sz w:val="20"/>
              </w:rPr>
            </w:pPr>
            <w:r w:rsidRPr="00F00D94">
              <w:rPr>
                <w:rFonts w:ascii="Arial" w:hAnsi="Arial" w:cs="Arial"/>
                <w:b/>
                <w:bCs/>
                <w:sz w:val="20"/>
              </w:rPr>
              <w:t xml:space="preserve">Special Tests &amp; Provisions </w:t>
            </w:r>
          </w:p>
        </w:tc>
        <w:tc>
          <w:tcPr>
            <w:tcW w:w="369" w:type="pct"/>
            <w:tcBorders>
              <w:top w:val="nil"/>
              <w:left w:val="nil"/>
              <w:bottom w:val="single" w:sz="4" w:space="0" w:color="auto"/>
              <w:right w:val="single" w:sz="4" w:space="0" w:color="auto"/>
            </w:tcBorders>
            <w:shd w:val="clear" w:color="auto" w:fill="auto"/>
            <w:noWrap/>
            <w:hideMark/>
          </w:tcPr>
          <w:p w14:paraId="1089FBC5" w14:textId="745CA47E" w:rsidR="0010435B" w:rsidRPr="00F00D94" w:rsidRDefault="00522D09"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188C5F0E"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C274F30" w14:textId="2471FDB9"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B15B9A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B7F437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1C4CB86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464AFE6A"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460F0EC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AB70C89" w14:textId="441F6545" w:rsidR="0010435B" w:rsidRPr="00F00D94" w:rsidRDefault="0010435B" w:rsidP="006672EA">
            <w:pPr>
              <w:jc w:val="center"/>
              <w:rPr>
                <w:rFonts w:ascii="Arial" w:hAnsi="Arial" w:cs="Arial"/>
                <w:sz w:val="20"/>
              </w:rPr>
            </w:pPr>
          </w:p>
        </w:tc>
      </w:tr>
    </w:tbl>
    <w:p w14:paraId="2D24D100" w14:textId="52EA7194"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r w:rsidR="002E6F9D" w:rsidRPr="00F00D94">
        <w:rPr>
          <w:rFonts w:ascii="Arial" w:hAnsi="Arial" w:cs="Arial"/>
          <w:b/>
          <w:bCs/>
          <w:color w:val="FF0000"/>
          <w:szCs w:val="24"/>
        </w:rPr>
        <w:t>have to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6E3F96BD" w:rsidR="0010435B" w:rsidRPr="00F00D94" w:rsidRDefault="0010435B" w:rsidP="00D76F2F">
      <w:pPr>
        <w:spacing w:after="240"/>
        <w:jc w:val="both"/>
        <w:rPr>
          <w:rFonts w:ascii="Arial" w:hAnsi="Arial" w:cs="Arial"/>
          <w:sz w:val="20"/>
        </w:rPr>
      </w:pPr>
      <w:r w:rsidRPr="00F00D94">
        <w:rPr>
          <w:rFonts w:ascii="Arial" w:hAnsi="Arial" w:cs="Arial"/>
          <w:b/>
          <w:sz w:val="20"/>
        </w:rPr>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17" w:history="1">
        <w:r w:rsidRPr="00F00D94">
          <w:rPr>
            <w:rStyle w:val="Hyperlink"/>
            <w:rFonts w:ascii="Arial" w:hAnsi="Arial" w:cs="Arial"/>
            <w:sz w:val="20"/>
          </w:rPr>
          <w:t>OMB Compliance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lastRenderedPageBreak/>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he auditor's tests of compliance with compliance requirements may disclose instances 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w:t>
      </w:r>
      <w:r w:rsidRPr="00F00D94">
        <w:rPr>
          <w:rFonts w:ascii="Arial" w:hAnsi="Arial" w:cs="Arial"/>
          <w:sz w:val="20"/>
        </w:rPr>
        <w:lastRenderedPageBreak/>
        <w:t xml:space="preserve">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18"/>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lastRenderedPageBreak/>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77777777"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dual purpose test is designed and evaluated by considering each purpose of the test separately. </w:t>
      </w:r>
    </w:p>
    <w:p w14:paraId="2427F80C" w14:textId="20611C2B"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substantive procedures to be performed. See chapter 11 of the AICPA Single Audit Guide for a discussion of the use of dual purpose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77777777" w:rsidR="000104D2" w:rsidRPr="00F00D94" w:rsidRDefault="00EB1C72" w:rsidP="000104D2">
      <w:pPr>
        <w:pStyle w:val="BodyText"/>
        <w:ind w:right="115"/>
        <w:jc w:val="both"/>
        <w:rPr>
          <w:rFonts w:ascii="Arial" w:hAnsi="Arial" w:cs="Arial"/>
          <w:sz w:val="20"/>
          <w:szCs w:val="20"/>
        </w:rPr>
      </w:pPr>
      <w:hyperlink r:id="rId19" w:history="1">
        <w:r w:rsidR="000104D2" w:rsidRPr="00F00D94">
          <w:rPr>
            <w:rStyle w:val="Hyperlink"/>
            <w:rFonts w:ascii="Arial" w:hAnsi="Arial" w:cs="Arial"/>
            <w:sz w:val="20"/>
            <w:szCs w:val="20"/>
            <w:u w:color="0000FF"/>
          </w:rPr>
          <w:t>Part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737F09">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737F09">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lastRenderedPageBreak/>
        <w:t>A payment that could be either proper or improper, but the agency is unable to discern whether the payment was proper or improper as a result of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F00D94" w:rsidRDefault="006F570B" w:rsidP="006672EA">
      <w:pPr>
        <w:pStyle w:val="Heading1"/>
        <w:jc w:val="both"/>
        <w:rPr>
          <w:rFonts w:cs="Arial"/>
        </w:rPr>
      </w:pPr>
      <w:bookmarkStart w:id="8" w:name="_Toc442267683"/>
      <w:bookmarkStart w:id="9" w:name="_Toc115942592"/>
      <w:r w:rsidRPr="00F00D94">
        <w:rPr>
          <w:rFonts w:cs="Arial"/>
        </w:rPr>
        <w:lastRenderedPageBreak/>
        <w:t>Part I</w:t>
      </w:r>
      <w:bookmarkEnd w:id="8"/>
      <w:r w:rsidR="003644ED" w:rsidRPr="00F00D94">
        <w:rPr>
          <w:rFonts w:cs="Arial"/>
        </w:rPr>
        <w:t xml:space="preserve"> – OMB Compliance Supplement Information</w:t>
      </w:r>
      <w:bookmarkEnd w:id="9"/>
    </w:p>
    <w:p w14:paraId="240AA8D7" w14:textId="77777777" w:rsidR="009656BB" w:rsidRPr="00F00D94" w:rsidRDefault="009656BB" w:rsidP="006672EA">
      <w:pPr>
        <w:pStyle w:val="Heading3"/>
        <w:jc w:val="both"/>
        <w:rPr>
          <w:rFonts w:cs="Arial"/>
        </w:rPr>
      </w:pPr>
      <w:bookmarkStart w:id="10" w:name="_Toc115942593"/>
      <w:r w:rsidRPr="00F00D94">
        <w:rPr>
          <w:rFonts w:cs="Arial"/>
        </w:rPr>
        <w:t>I. Program Objectives</w:t>
      </w:r>
      <w:bookmarkEnd w:id="10"/>
    </w:p>
    <w:p w14:paraId="0D61DCB1" w14:textId="77777777" w:rsidR="002140C9" w:rsidRPr="002140C9" w:rsidRDefault="002140C9" w:rsidP="002140C9">
      <w:pPr>
        <w:spacing w:after="240"/>
        <w:jc w:val="both"/>
        <w:rPr>
          <w:rFonts w:ascii="Arial" w:hAnsi="Arial" w:cs="Arial"/>
          <w:bCs/>
          <w:sz w:val="20"/>
        </w:rPr>
      </w:pPr>
      <w:r w:rsidRPr="002140C9">
        <w:rPr>
          <w:rFonts w:ascii="Arial" w:hAnsi="Arial" w:cs="Arial"/>
          <w:bCs/>
          <w:sz w:val="20"/>
        </w:rPr>
        <w:t>The purpose of the Coronavirus State and Local Fiscal Recovery Funds (“CSLFRF”) is to provide direct payments to states (defined to include the District of Columbia), US territories (defined to include Puerto Rico, US Virgin Islands, Guam, Northern Mariana Islands, and American Samoa), tribal governments, metropolitan cities, counties, and (through states) non- entitlement units of local government (collectively the “eligible entities”) to:</w:t>
      </w:r>
    </w:p>
    <w:p w14:paraId="1D9E8567" w14:textId="77777777" w:rsidR="002140C9" w:rsidRDefault="002140C9" w:rsidP="00737F09">
      <w:pPr>
        <w:pStyle w:val="ListParagraph"/>
        <w:numPr>
          <w:ilvl w:val="0"/>
          <w:numId w:val="61"/>
        </w:numPr>
        <w:spacing w:after="240"/>
        <w:jc w:val="both"/>
        <w:rPr>
          <w:rFonts w:ascii="Arial" w:hAnsi="Arial" w:cs="Arial"/>
          <w:bCs/>
        </w:rPr>
      </w:pPr>
      <w:r w:rsidRPr="002140C9">
        <w:rPr>
          <w:rFonts w:ascii="Arial" w:hAnsi="Arial" w:cs="Arial"/>
          <w:bCs/>
        </w:rPr>
        <w:t>Respond to the public health emergency, COVID-19 or its negative economic impacts, including providing assistance to households, small businesses, nonprofits, and impacted industries, such as tourism, travel, and hospitality;</w:t>
      </w:r>
    </w:p>
    <w:p w14:paraId="14CF3984" w14:textId="77777777" w:rsidR="002140C9" w:rsidRDefault="002140C9" w:rsidP="00737F09">
      <w:pPr>
        <w:pStyle w:val="ListParagraph"/>
        <w:numPr>
          <w:ilvl w:val="0"/>
          <w:numId w:val="61"/>
        </w:numPr>
        <w:spacing w:after="240"/>
        <w:jc w:val="both"/>
        <w:rPr>
          <w:rFonts w:ascii="Arial" w:hAnsi="Arial" w:cs="Arial"/>
          <w:bCs/>
        </w:rPr>
      </w:pPr>
      <w:r w:rsidRPr="002140C9">
        <w:rPr>
          <w:rFonts w:ascii="Arial" w:hAnsi="Arial" w:cs="Arial"/>
          <w:bCs/>
        </w:rPr>
        <w:t>Respond to workers performing essential work during the COVID-19 public health emergency by providing premium pay to eligible workers of eligible employers that have eligible workers who are performing essential work, or by providing grants to eligible entities who perform essential work;</w:t>
      </w:r>
    </w:p>
    <w:p w14:paraId="35414C71" w14:textId="77777777" w:rsidR="002140C9" w:rsidRDefault="002140C9" w:rsidP="00737F09">
      <w:pPr>
        <w:pStyle w:val="ListParagraph"/>
        <w:numPr>
          <w:ilvl w:val="0"/>
          <w:numId w:val="61"/>
        </w:numPr>
        <w:spacing w:after="240"/>
        <w:jc w:val="both"/>
        <w:rPr>
          <w:rFonts w:ascii="Arial" w:hAnsi="Arial" w:cs="Arial"/>
          <w:bCs/>
        </w:rPr>
      </w:pPr>
      <w:r w:rsidRPr="002140C9">
        <w:rPr>
          <w:rFonts w:ascii="Arial" w:hAnsi="Arial" w:cs="Arial"/>
          <w:bCs/>
        </w:rPr>
        <w:t>Provide government services, to the extent COVID-19 caused a reduction in revenues collected in the most recent full fiscal year of the state, territory, tribal government, metropolitan city, county, or non-entitlement units of local government;</w:t>
      </w:r>
    </w:p>
    <w:p w14:paraId="47FBF2E8" w14:textId="25D3466B" w:rsidR="009656BB" w:rsidRPr="002140C9" w:rsidRDefault="002140C9" w:rsidP="00737F09">
      <w:pPr>
        <w:pStyle w:val="ListParagraph"/>
        <w:numPr>
          <w:ilvl w:val="0"/>
          <w:numId w:val="61"/>
        </w:numPr>
        <w:spacing w:after="240"/>
        <w:jc w:val="both"/>
        <w:rPr>
          <w:rFonts w:ascii="Arial" w:hAnsi="Arial" w:cs="Arial"/>
          <w:bCs/>
        </w:rPr>
      </w:pPr>
      <w:r w:rsidRPr="002140C9">
        <w:rPr>
          <w:rFonts w:ascii="Arial" w:hAnsi="Arial" w:cs="Arial"/>
          <w:bCs/>
        </w:rPr>
        <w:t>Make necessary investments in water, sewer, or broadband infrastructure.</w:t>
      </w:r>
    </w:p>
    <w:p w14:paraId="55A535ED" w14:textId="77777777" w:rsidR="00E02569" w:rsidRPr="00E02569" w:rsidRDefault="00E02569" w:rsidP="00E02569">
      <w:pPr>
        <w:spacing w:after="240"/>
        <w:jc w:val="both"/>
        <w:rPr>
          <w:rFonts w:ascii="Arial" w:hAnsi="Arial" w:cs="Arial"/>
          <w:sz w:val="20"/>
        </w:rPr>
      </w:pPr>
      <w:r w:rsidRPr="00E02569">
        <w:rPr>
          <w:rFonts w:ascii="Arial" w:hAnsi="Arial" w:cs="Arial"/>
          <w:b/>
          <w:sz w:val="20"/>
        </w:rPr>
        <w:t>Note</w:t>
      </w:r>
      <w:r w:rsidRPr="00E02569">
        <w:rPr>
          <w:rFonts w:ascii="Arial" w:hAnsi="Arial" w:cs="Arial"/>
          <w:sz w:val="20"/>
        </w:rPr>
        <w:t>: This program is considered a “higher risk” program for 2022, pursuant to 2 CFR section 200.519(c)(2). Refer to the “Programs with Higher Risk Designation” section of Part 8, Appendix IV, Internal Reference Tables, for a discussion of the impact of the “higher risk” designation on the major program determination process.</w:t>
      </w:r>
    </w:p>
    <w:p w14:paraId="3E129B31" w14:textId="77777777" w:rsidR="00E02569" w:rsidRPr="00E02569" w:rsidRDefault="00E02569" w:rsidP="00E02569">
      <w:pPr>
        <w:spacing w:after="240"/>
        <w:jc w:val="both"/>
        <w:rPr>
          <w:rFonts w:ascii="Arial" w:hAnsi="Arial" w:cs="Arial"/>
          <w:sz w:val="20"/>
        </w:rPr>
      </w:pPr>
      <w:r w:rsidRPr="00E02569">
        <w:rPr>
          <w:rFonts w:ascii="Arial" w:hAnsi="Arial" w:cs="Arial"/>
          <w:b/>
          <w:sz w:val="20"/>
        </w:rPr>
        <w:t>Note</w:t>
      </w:r>
      <w:r w:rsidRPr="00E02569">
        <w:rPr>
          <w:rFonts w:ascii="Arial" w:hAnsi="Arial" w:cs="Arial"/>
          <w:sz w:val="20"/>
        </w:rPr>
        <w:t>: Per Part IV, “Other Information,” certain Coronavirus State and Local Fiscal Recovery Funds recipients are provided with an option to have an alternative compliance examination engagement in lieu of a Single Audit or a Program-Specific Audit under 2 CFR Part 200, Subpart F.</w:t>
      </w:r>
    </w:p>
    <w:p w14:paraId="27A28DF7" w14:textId="393F019B" w:rsidR="009656BB" w:rsidRPr="00E02569" w:rsidRDefault="002140C9" w:rsidP="00E02569">
      <w:pPr>
        <w:spacing w:after="240"/>
        <w:jc w:val="both"/>
        <w:rPr>
          <w:rFonts w:ascii="Arial" w:hAnsi="Arial" w:cs="Arial"/>
          <w:i/>
          <w:sz w:val="20"/>
        </w:rPr>
      </w:pPr>
      <w:r w:rsidRPr="00E02569">
        <w:rPr>
          <w:rFonts w:ascii="Arial" w:hAnsi="Arial" w:cs="Arial"/>
          <w:i/>
          <w:sz w:val="20"/>
        </w:rPr>
        <w:t xml:space="preserve">(Source: 2022 OMB Compliance Supplement, Part 4, Treasury, 21.027 Coronavirus State and Local Fiscal Recovery Fund) </w:t>
      </w:r>
    </w:p>
    <w:p w14:paraId="222D14D9" w14:textId="77777777" w:rsidR="009656BB" w:rsidRPr="00F00D94" w:rsidRDefault="009656BB" w:rsidP="006672EA">
      <w:pPr>
        <w:pStyle w:val="Heading3"/>
        <w:jc w:val="both"/>
        <w:rPr>
          <w:rFonts w:cs="Arial"/>
        </w:rPr>
      </w:pPr>
      <w:bookmarkStart w:id="11" w:name="_Toc115942594"/>
      <w:r w:rsidRPr="00F00D94">
        <w:rPr>
          <w:rFonts w:cs="Arial"/>
        </w:rPr>
        <w:t>II. Program Procedures</w:t>
      </w:r>
      <w:bookmarkEnd w:id="11"/>
    </w:p>
    <w:p w14:paraId="24CE80CD" w14:textId="0B7E1E81" w:rsidR="002140C9" w:rsidRPr="002140C9" w:rsidRDefault="002140C9" w:rsidP="002140C9">
      <w:pPr>
        <w:spacing w:after="240"/>
        <w:jc w:val="both"/>
        <w:rPr>
          <w:rFonts w:ascii="Arial" w:hAnsi="Arial" w:cs="Arial"/>
          <w:bCs/>
          <w:sz w:val="20"/>
        </w:rPr>
      </w:pPr>
      <w:r w:rsidRPr="002140C9">
        <w:rPr>
          <w:rFonts w:ascii="Arial" w:hAnsi="Arial" w:cs="Arial"/>
          <w:bCs/>
          <w:sz w:val="20"/>
        </w:rPr>
        <w:t>Sections 602 and 603 of the Social Security Act (the “Act”), as added by section 9901 of the American Rescue Plan Act of 2021, Pub. L. No. 117-2 (Mar. 11, 2021) authorized the Coronavirus State Fiscal Recovery Fund (“CSFRF”) and Coronavirus Local Fiscal Recovery Fund (“CLFRF”), respectively (referred to collectively as the “Coronavirus State and Local Fiscal Recovery Funds” or “CSLFRF”). CSLFRF is administered by the</w:t>
      </w:r>
      <w:r>
        <w:rPr>
          <w:rFonts w:ascii="Arial" w:hAnsi="Arial" w:cs="Arial"/>
          <w:bCs/>
          <w:sz w:val="20"/>
        </w:rPr>
        <w:t xml:space="preserve"> </w:t>
      </w:r>
      <w:r w:rsidRPr="002140C9">
        <w:rPr>
          <w:rFonts w:ascii="Arial" w:hAnsi="Arial" w:cs="Arial"/>
          <w:bCs/>
          <w:sz w:val="20"/>
        </w:rPr>
        <w:t>US Department of the Treasury (“Treasury”) and provides assistance in the form of direct payments for specified use. CSLFRF provides $350 billion for payments to eligible entities.</w:t>
      </w:r>
    </w:p>
    <w:p w14:paraId="4B91C05D" w14:textId="2616CB1F" w:rsidR="002140C9" w:rsidRPr="002140C9" w:rsidRDefault="002140C9" w:rsidP="002140C9">
      <w:pPr>
        <w:spacing w:after="240"/>
        <w:jc w:val="both"/>
        <w:rPr>
          <w:rFonts w:ascii="Arial" w:hAnsi="Arial" w:cs="Arial"/>
          <w:bCs/>
          <w:sz w:val="20"/>
        </w:rPr>
      </w:pPr>
      <w:r w:rsidRPr="002140C9">
        <w:rPr>
          <w:rFonts w:ascii="Arial" w:hAnsi="Arial" w:cs="Arial"/>
          <w:bCs/>
          <w:sz w:val="20"/>
        </w:rPr>
        <w:t>The total allocations to the eligible entities under CSLFRF are as follows:</w:t>
      </w:r>
    </w:p>
    <w:p w14:paraId="67E14357" w14:textId="77777777" w:rsidR="002140C9" w:rsidRDefault="002140C9" w:rsidP="00737F09">
      <w:pPr>
        <w:pStyle w:val="ListParagraph"/>
        <w:numPr>
          <w:ilvl w:val="0"/>
          <w:numId w:val="62"/>
        </w:numPr>
        <w:spacing w:after="240"/>
        <w:jc w:val="both"/>
        <w:rPr>
          <w:rFonts w:ascii="Arial" w:hAnsi="Arial" w:cs="Arial"/>
          <w:bCs/>
        </w:rPr>
      </w:pPr>
      <w:r w:rsidRPr="002140C9">
        <w:rPr>
          <w:rFonts w:ascii="Arial" w:hAnsi="Arial" w:cs="Arial"/>
          <w:bCs/>
        </w:rPr>
        <w:t>$195.3 billion reserved for making payments to the 50 states and the District of Columbia;</w:t>
      </w:r>
    </w:p>
    <w:p w14:paraId="144D9319" w14:textId="77777777" w:rsidR="002140C9" w:rsidRDefault="002140C9" w:rsidP="00737F09">
      <w:pPr>
        <w:pStyle w:val="ListParagraph"/>
        <w:numPr>
          <w:ilvl w:val="0"/>
          <w:numId w:val="62"/>
        </w:numPr>
        <w:spacing w:after="240"/>
        <w:jc w:val="both"/>
        <w:rPr>
          <w:rFonts w:ascii="Arial" w:hAnsi="Arial" w:cs="Arial"/>
          <w:bCs/>
        </w:rPr>
      </w:pPr>
      <w:r w:rsidRPr="002140C9">
        <w:rPr>
          <w:rFonts w:ascii="Arial" w:hAnsi="Arial" w:cs="Arial"/>
          <w:bCs/>
        </w:rPr>
        <w:t>$4.5 billion reserved for making payments to the US territories;</w:t>
      </w:r>
    </w:p>
    <w:p w14:paraId="5C54943F" w14:textId="77777777" w:rsidR="002140C9" w:rsidRDefault="002140C9" w:rsidP="00737F09">
      <w:pPr>
        <w:pStyle w:val="ListParagraph"/>
        <w:numPr>
          <w:ilvl w:val="0"/>
          <w:numId w:val="62"/>
        </w:numPr>
        <w:spacing w:after="240"/>
        <w:jc w:val="both"/>
        <w:rPr>
          <w:rFonts w:ascii="Arial" w:hAnsi="Arial" w:cs="Arial"/>
          <w:bCs/>
        </w:rPr>
      </w:pPr>
      <w:r w:rsidRPr="002140C9">
        <w:rPr>
          <w:rFonts w:ascii="Arial" w:hAnsi="Arial" w:cs="Arial"/>
          <w:bCs/>
        </w:rPr>
        <w:t>$20 billion reserved for making payments to tribal governments;</w:t>
      </w:r>
    </w:p>
    <w:p w14:paraId="269F3F80" w14:textId="77777777" w:rsidR="002140C9" w:rsidRDefault="002140C9" w:rsidP="00737F09">
      <w:pPr>
        <w:pStyle w:val="ListParagraph"/>
        <w:numPr>
          <w:ilvl w:val="0"/>
          <w:numId w:val="62"/>
        </w:numPr>
        <w:spacing w:after="240"/>
        <w:jc w:val="both"/>
        <w:rPr>
          <w:rFonts w:ascii="Arial" w:hAnsi="Arial" w:cs="Arial"/>
          <w:bCs/>
        </w:rPr>
      </w:pPr>
      <w:r w:rsidRPr="002140C9">
        <w:rPr>
          <w:rFonts w:ascii="Arial" w:hAnsi="Arial" w:cs="Arial"/>
          <w:bCs/>
        </w:rPr>
        <w:t>$45.57 billion reserved for making payments to metropolitan cities;</w:t>
      </w:r>
    </w:p>
    <w:p w14:paraId="19FDABAD" w14:textId="77777777" w:rsidR="002140C9" w:rsidRDefault="002140C9" w:rsidP="00737F09">
      <w:pPr>
        <w:pStyle w:val="ListParagraph"/>
        <w:numPr>
          <w:ilvl w:val="0"/>
          <w:numId w:val="62"/>
        </w:numPr>
        <w:spacing w:after="240"/>
        <w:jc w:val="both"/>
        <w:rPr>
          <w:rFonts w:ascii="Arial" w:hAnsi="Arial" w:cs="Arial"/>
          <w:bCs/>
        </w:rPr>
      </w:pPr>
      <w:r w:rsidRPr="002140C9">
        <w:rPr>
          <w:rFonts w:ascii="Arial" w:hAnsi="Arial" w:cs="Arial"/>
          <w:bCs/>
        </w:rPr>
        <w:lastRenderedPageBreak/>
        <w:t>$65.1 billion reserved for making payments to counties; and</w:t>
      </w:r>
    </w:p>
    <w:p w14:paraId="764DB08C" w14:textId="5B48FC23" w:rsidR="002140C9" w:rsidRPr="002140C9" w:rsidRDefault="002140C9" w:rsidP="00737F09">
      <w:pPr>
        <w:pStyle w:val="ListParagraph"/>
        <w:numPr>
          <w:ilvl w:val="0"/>
          <w:numId w:val="62"/>
        </w:numPr>
        <w:spacing w:after="240"/>
        <w:jc w:val="both"/>
        <w:rPr>
          <w:rFonts w:ascii="Arial" w:hAnsi="Arial" w:cs="Arial"/>
          <w:bCs/>
        </w:rPr>
      </w:pPr>
      <w:r w:rsidRPr="002140C9">
        <w:rPr>
          <w:rFonts w:ascii="Arial" w:hAnsi="Arial" w:cs="Arial"/>
          <w:bCs/>
        </w:rPr>
        <w:t>$19.53 billion reserved for making payments to Non-entitlement Units of Local Government (NEU).</w:t>
      </w:r>
    </w:p>
    <w:p w14:paraId="0B9F0458" w14:textId="77777777" w:rsidR="002140C9" w:rsidRPr="002140C9" w:rsidRDefault="002140C9" w:rsidP="002140C9">
      <w:pPr>
        <w:spacing w:after="240"/>
        <w:jc w:val="both"/>
        <w:rPr>
          <w:rFonts w:ascii="Arial" w:hAnsi="Arial" w:cs="Arial"/>
          <w:bCs/>
          <w:sz w:val="20"/>
        </w:rPr>
      </w:pPr>
      <w:r w:rsidRPr="002140C9">
        <w:rPr>
          <w:rFonts w:ascii="Arial" w:hAnsi="Arial" w:cs="Arial"/>
          <w:bCs/>
          <w:sz w:val="20"/>
        </w:rPr>
        <w:t>Amounts paid to eligible states and local governments were based on 2019 population data from the US Census Bureau as well as latest available data from the Bureau of Labor Statistics at the time of the issuance of Treasury’s Interim Final Rule. Treasury made a determination to allocate payments to tribal governments based on enrollment and employment data as well as consultation with tribal leaders.</w:t>
      </w:r>
    </w:p>
    <w:p w14:paraId="4E27D506" w14:textId="77777777" w:rsidR="002140C9" w:rsidRPr="002140C9" w:rsidRDefault="002140C9" w:rsidP="002140C9">
      <w:pPr>
        <w:spacing w:after="240"/>
        <w:jc w:val="both"/>
        <w:rPr>
          <w:rFonts w:ascii="Arial" w:hAnsi="Arial" w:cs="Arial"/>
          <w:bCs/>
          <w:sz w:val="20"/>
        </w:rPr>
      </w:pPr>
      <w:r w:rsidRPr="002140C9">
        <w:rPr>
          <w:rFonts w:ascii="Arial" w:hAnsi="Arial" w:cs="Arial"/>
          <w:bCs/>
          <w:sz w:val="20"/>
        </w:rPr>
        <w:t>Prior to receipt of award funds, all eligible entities are required to execute a Financial Assistance Agreement, which includes the Award Terms and Conditions that recipients must comply with in carrying out the objectives of their award. As a condition of receiving payment from CSLFRF, states, the District of Columbia, and US territories executed a Financial Assistance Agreement that included the required section 602(d)(1) certification. tribal and local governments are not required to provide such certification as a condition of receiving payment under CSLFRF. Eligible entities are expected to use the direct payments to meet pandemic response needs and rebuild a strong, more equitable economy as the country recovers.</w:t>
      </w:r>
    </w:p>
    <w:p w14:paraId="368593B0" w14:textId="2AE2852E" w:rsidR="001A2761" w:rsidRPr="00F00D94" w:rsidRDefault="002140C9" w:rsidP="002140C9">
      <w:pPr>
        <w:spacing w:after="240"/>
        <w:jc w:val="both"/>
        <w:rPr>
          <w:rFonts w:ascii="Arial" w:hAnsi="Arial" w:cs="Arial"/>
          <w:bCs/>
          <w:sz w:val="20"/>
        </w:rPr>
      </w:pPr>
      <w:r w:rsidRPr="002140C9">
        <w:rPr>
          <w:rFonts w:ascii="Arial" w:hAnsi="Arial" w:cs="Arial"/>
          <w:bCs/>
          <w:sz w:val="20"/>
        </w:rPr>
        <w:t>Please note that, as discussed in Part IV. Other Information, certain CSLFRF recipients are provided with an option to have an alternative compliance examination engagement in lieu of a Single Audit or a Program-Specific Audit under 2 CFR Part 200, Subpart F.</w:t>
      </w:r>
    </w:p>
    <w:p w14:paraId="3D7F8C06" w14:textId="14D68890" w:rsidR="009656BB" w:rsidRPr="002140C9" w:rsidRDefault="002140C9" w:rsidP="00740C6F">
      <w:pPr>
        <w:spacing w:after="240"/>
        <w:jc w:val="both"/>
        <w:rPr>
          <w:rFonts w:ascii="Arial" w:hAnsi="Arial" w:cs="Arial"/>
          <w:bCs/>
          <w:i/>
          <w:sz w:val="20"/>
        </w:rPr>
      </w:pPr>
      <w:r>
        <w:rPr>
          <w:rFonts w:ascii="Arial" w:hAnsi="Arial" w:cs="Arial"/>
          <w:bCs/>
          <w:i/>
          <w:sz w:val="20"/>
        </w:rPr>
        <w:t xml:space="preserve">(Source: 2022 OMB Compliance Supplement, Part 4, Treasury, 21.027 Coronavirus State and Local Fiscal Recovery Fund) </w:t>
      </w:r>
    </w:p>
    <w:p w14:paraId="612B87C9" w14:textId="77777777" w:rsidR="009656BB" w:rsidRPr="00F00D94" w:rsidRDefault="009656BB" w:rsidP="006672EA">
      <w:pPr>
        <w:pStyle w:val="Heading3"/>
        <w:jc w:val="both"/>
        <w:rPr>
          <w:rFonts w:cs="Arial"/>
          <w:sz w:val="28"/>
          <w:szCs w:val="28"/>
        </w:rPr>
      </w:pPr>
      <w:bookmarkStart w:id="12" w:name="_Toc115942595"/>
      <w:r w:rsidRPr="00F00D94">
        <w:rPr>
          <w:rFonts w:cs="Arial"/>
        </w:rPr>
        <w:t>III. Source of Governing Requirements</w:t>
      </w:r>
      <w:bookmarkEnd w:id="12"/>
    </w:p>
    <w:p w14:paraId="20866F9B" w14:textId="24F49A51" w:rsidR="002140C9" w:rsidRPr="002140C9" w:rsidRDefault="002140C9" w:rsidP="002140C9">
      <w:pPr>
        <w:spacing w:after="240"/>
        <w:jc w:val="both"/>
        <w:rPr>
          <w:rFonts w:ascii="Arial" w:hAnsi="Arial" w:cs="Arial"/>
          <w:bCs/>
          <w:sz w:val="20"/>
        </w:rPr>
      </w:pPr>
      <w:r w:rsidRPr="002140C9">
        <w:rPr>
          <w:rFonts w:ascii="Arial" w:hAnsi="Arial" w:cs="Arial"/>
          <w:bCs/>
          <w:sz w:val="20"/>
        </w:rPr>
        <w:t xml:space="preserve">The Coronavirus State and Local Fiscal Recovery Funds program is authorized by sections 602 and 603 of the Social Security Act as added by section 9901 of the American Rescue Plan Act of 2021, Pub. L. No. 117-2 (Mar. 11, 2021), and codified at 42 USC 802 and 803 and implemented by Treasury’s </w:t>
      </w:r>
      <w:hyperlink r:id="rId20" w:history="1">
        <w:r w:rsidRPr="002140C9">
          <w:rPr>
            <w:rStyle w:val="Hyperlink"/>
            <w:rFonts w:ascii="Arial" w:hAnsi="Arial" w:cs="Arial"/>
            <w:bCs/>
            <w:sz w:val="20"/>
          </w:rPr>
          <w:t>Interim Final Rule</w:t>
        </w:r>
      </w:hyperlink>
      <w:r w:rsidRPr="002140C9">
        <w:rPr>
          <w:rFonts w:ascii="Arial" w:hAnsi="Arial" w:cs="Arial"/>
          <w:bCs/>
          <w:sz w:val="20"/>
        </w:rPr>
        <w:t xml:space="preserve"> and </w:t>
      </w:r>
      <w:hyperlink r:id="rId21" w:history="1">
        <w:r w:rsidRPr="002140C9">
          <w:rPr>
            <w:rStyle w:val="Hyperlink"/>
            <w:rFonts w:ascii="Arial" w:hAnsi="Arial" w:cs="Arial"/>
            <w:bCs/>
            <w:sz w:val="20"/>
          </w:rPr>
          <w:t>Final Rule</w:t>
        </w:r>
      </w:hyperlink>
      <w:r w:rsidRPr="002140C9">
        <w:rPr>
          <w:rFonts w:ascii="Arial" w:hAnsi="Arial" w:cs="Arial"/>
          <w:bCs/>
          <w:sz w:val="20"/>
        </w:rPr>
        <w:t xml:space="preserve"> at 31 CFR Part 35.</w:t>
      </w:r>
    </w:p>
    <w:p w14:paraId="6816E2FB" w14:textId="0CB99398" w:rsidR="002140C9" w:rsidRPr="002140C9" w:rsidRDefault="002140C9" w:rsidP="002140C9">
      <w:pPr>
        <w:spacing w:after="240"/>
        <w:jc w:val="both"/>
        <w:rPr>
          <w:rFonts w:ascii="Arial" w:hAnsi="Arial" w:cs="Arial"/>
          <w:bCs/>
          <w:sz w:val="20"/>
        </w:rPr>
      </w:pPr>
      <w:r w:rsidRPr="002140C9">
        <w:rPr>
          <w:rFonts w:ascii="Arial" w:hAnsi="Arial" w:cs="Arial"/>
          <w:bCs/>
          <w:sz w:val="20"/>
        </w:rPr>
        <w:t>On January 6, 2022, Treasury adopted a Final Rule to implement the requirements of the CSLFRF program. The Final Rule responded to comments Treasury received on the Interim Final Rule and is effective as of April 1, 2022.</w:t>
      </w:r>
    </w:p>
    <w:p w14:paraId="3A53BD05" w14:textId="77777777" w:rsidR="002140C9" w:rsidRPr="002140C9" w:rsidRDefault="002140C9" w:rsidP="002140C9">
      <w:pPr>
        <w:spacing w:after="240"/>
        <w:jc w:val="both"/>
        <w:rPr>
          <w:rFonts w:ascii="Arial" w:hAnsi="Arial" w:cs="Arial"/>
          <w:bCs/>
          <w:sz w:val="20"/>
        </w:rPr>
      </w:pPr>
      <w:r w:rsidRPr="002140C9">
        <w:rPr>
          <w:rFonts w:ascii="Arial" w:hAnsi="Arial" w:cs="Arial"/>
          <w:bCs/>
          <w:sz w:val="20"/>
        </w:rPr>
        <w:t>Along with the Final Rule, Treasury published a Statement Regarding Compliance with the Coronavirus State and Local Fiscal Recovery Funds Interim Final Rule and Final Rule (the “Statement”) that clarifies the transition from compliance with the Interim Final Rule to compliance with the Final Rule. Recipients should review the Final Rule for additional information. Recipients must comply with the Final Rule that was effective as of April 1, 2022. Prior to April 1, 2022, recipients may take actions and use funds in a manner consistent with the Final Rule, and Treasury will not take action to enforce the Interim Final Rule if a use of funds is consistent with the terms of the Final Rule, regardless of when the CSLFRF funds were used.</w:t>
      </w:r>
    </w:p>
    <w:p w14:paraId="39873EE9" w14:textId="77777777" w:rsidR="002140C9" w:rsidRPr="002140C9" w:rsidRDefault="002140C9" w:rsidP="002140C9">
      <w:pPr>
        <w:spacing w:after="240"/>
        <w:jc w:val="both"/>
        <w:rPr>
          <w:rFonts w:ascii="Arial" w:hAnsi="Arial" w:cs="Arial"/>
          <w:bCs/>
          <w:sz w:val="20"/>
        </w:rPr>
      </w:pPr>
      <w:r w:rsidRPr="002140C9">
        <w:rPr>
          <w:rFonts w:ascii="Arial" w:hAnsi="Arial" w:cs="Arial"/>
          <w:bCs/>
          <w:sz w:val="20"/>
        </w:rPr>
        <w:t>This means that Treasury will not take action to enforce against uses of the Interim Final Rule to the extent that the recipient wishes to change its planned uses of CSLFRF funds in a manner consistent with the Final Rule.</w:t>
      </w:r>
    </w:p>
    <w:p w14:paraId="56D53C3F" w14:textId="77777777" w:rsidR="002140C9" w:rsidRPr="002140C9" w:rsidRDefault="002140C9" w:rsidP="002140C9">
      <w:pPr>
        <w:spacing w:after="240"/>
        <w:jc w:val="both"/>
        <w:rPr>
          <w:rFonts w:ascii="Arial" w:hAnsi="Arial" w:cs="Arial"/>
          <w:bCs/>
          <w:sz w:val="20"/>
        </w:rPr>
      </w:pPr>
      <w:r w:rsidRPr="002140C9">
        <w:rPr>
          <w:rFonts w:ascii="Arial" w:hAnsi="Arial" w:cs="Arial"/>
          <w:bCs/>
          <w:sz w:val="20"/>
        </w:rPr>
        <w:t>Auditors must audit recipients on award funds they expended for their fiscal year 2022 based on the requirements set forth in the Act, Treasury’s Interim Final Rule, Treasury’s Final Rule, and Frequently Asked Questions (FAQs) that were in effect at the time of those expenditures.</w:t>
      </w:r>
    </w:p>
    <w:p w14:paraId="5E052068" w14:textId="774269BC" w:rsidR="006F570B" w:rsidRPr="00F00D94" w:rsidRDefault="002140C9" w:rsidP="002140C9">
      <w:pPr>
        <w:spacing w:after="240"/>
        <w:jc w:val="both"/>
        <w:rPr>
          <w:rFonts w:ascii="Arial" w:hAnsi="Arial" w:cs="Arial"/>
          <w:bCs/>
          <w:sz w:val="20"/>
        </w:rPr>
      </w:pPr>
      <w:r w:rsidRPr="002140C9">
        <w:rPr>
          <w:rFonts w:ascii="Arial" w:hAnsi="Arial" w:cs="Arial"/>
          <w:bCs/>
          <w:sz w:val="20"/>
        </w:rPr>
        <w:t xml:space="preserve">Auditors must audit recipients on award funds they expended in accordance with the Final Rule at 31 CFR Part 35 on and after April 1, 2022, the date the Final Rule became effective, as well as FAQs that are in effect at the time of those expenditures. </w:t>
      </w:r>
    </w:p>
    <w:p w14:paraId="05B90F53" w14:textId="1268F0C0" w:rsidR="006F570B" w:rsidRPr="002140C9" w:rsidRDefault="002140C9" w:rsidP="006672EA">
      <w:pPr>
        <w:spacing w:after="240"/>
        <w:jc w:val="both"/>
        <w:rPr>
          <w:rFonts w:ascii="Arial" w:hAnsi="Arial" w:cs="Arial"/>
          <w:bCs/>
          <w:i/>
          <w:sz w:val="20"/>
        </w:rPr>
      </w:pPr>
      <w:r>
        <w:rPr>
          <w:rFonts w:ascii="Arial" w:hAnsi="Arial" w:cs="Arial"/>
          <w:bCs/>
          <w:i/>
          <w:sz w:val="20"/>
        </w:rPr>
        <w:lastRenderedPageBreak/>
        <w:t xml:space="preserve">(Source: 2022 OMB Compliance Supplement, Part 4, Treasury, 21.027 Coronavirus State and Local Fiscal Recovery Fund) </w:t>
      </w:r>
    </w:p>
    <w:p w14:paraId="278D98F4" w14:textId="77777777" w:rsidR="006F570B" w:rsidRPr="00F00D94" w:rsidRDefault="00386445" w:rsidP="006672EA">
      <w:pPr>
        <w:pStyle w:val="Heading3"/>
        <w:jc w:val="both"/>
        <w:rPr>
          <w:rFonts w:cs="Arial"/>
        </w:rPr>
      </w:pPr>
      <w:bookmarkStart w:id="13" w:name="_Toc115942596"/>
      <w:r w:rsidRPr="00F00D94">
        <w:rPr>
          <w:rFonts w:cs="Arial"/>
        </w:rPr>
        <w:t xml:space="preserve">IV. </w:t>
      </w:r>
      <w:r w:rsidR="009C1FCD" w:rsidRPr="00F00D94">
        <w:rPr>
          <w:rFonts w:cs="Arial"/>
        </w:rPr>
        <w:t>Other Information</w:t>
      </w:r>
      <w:bookmarkEnd w:id="13"/>
    </w:p>
    <w:p w14:paraId="00DF1644" w14:textId="77777777" w:rsidR="002140C9" w:rsidRPr="002140C9" w:rsidRDefault="002140C9" w:rsidP="002140C9">
      <w:pPr>
        <w:spacing w:after="240"/>
        <w:jc w:val="both"/>
        <w:rPr>
          <w:rFonts w:ascii="Arial" w:hAnsi="Arial" w:cs="Arial"/>
          <w:bCs/>
          <w:i/>
          <w:sz w:val="20"/>
        </w:rPr>
      </w:pPr>
      <w:r w:rsidRPr="002140C9">
        <w:rPr>
          <w:rFonts w:ascii="Arial" w:hAnsi="Arial" w:cs="Arial"/>
          <w:bCs/>
          <w:i/>
          <w:sz w:val="20"/>
        </w:rPr>
        <w:t>Schedule of Expenditures of Federal Awards (SEFA)</w:t>
      </w:r>
    </w:p>
    <w:p w14:paraId="23977C6A" w14:textId="45B2C402" w:rsidR="002140C9" w:rsidRPr="002140C9" w:rsidRDefault="002140C9" w:rsidP="002140C9">
      <w:pPr>
        <w:spacing w:after="240"/>
        <w:jc w:val="both"/>
        <w:rPr>
          <w:rFonts w:ascii="Arial" w:hAnsi="Arial" w:cs="Arial"/>
          <w:bCs/>
          <w:sz w:val="20"/>
        </w:rPr>
      </w:pPr>
      <w:r w:rsidRPr="002140C9">
        <w:rPr>
          <w:rFonts w:ascii="Arial" w:hAnsi="Arial" w:cs="Arial"/>
          <w:bCs/>
          <w:sz w:val="20"/>
        </w:rPr>
        <w:t>As noted in Activities Allowed or Unallowed</w:t>
      </w:r>
      <w:r>
        <w:rPr>
          <w:rFonts w:ascii="Arial" w:hAnsi="Arial" w:cs="Arial"/>
          <w:bCs/>
          <w:sz w:val="20"/>
        </w:rPr>
        <w:t xml:space="preserve"> section</w:t>
      </w:r>
      <w:r w:rsidRPr="002140C9">
        <w:rPr>
          <w:rFonts w:ascii="Arial" w:hAnsi="Arial" w:cs="Arial"/>
          <w:bCs/>
          <w:sz w:val="20"/>
        </w:rPr>
        <w:t xml:space="preserve">, the dollar amount of the revenue loss determines the limit for the amount of CSLFRF funds that can be used to “provide government services” (which is one of four eligible uses of CSLFRF funds). For SEFA reporting purposes, the aggregate expenditures for all four eligible use categories are reported on the SEFA and </w:t>
      </w:r>
      <w:r w:rsidRPr="002140C9">
        <w:rPr>
          <w:rFonts w:ascii="Arial" w:hAnsi="Arial" w:cs="Arial"/>
          <w:b/>
          <w:bCs/>
          <w:sz w:val="20"/>
        </w:rPr>
        <w:t>not</w:t>
      </w:r>
      <w:r w:rsidRPr="002140C9">
        <w:rPr>
          <w:rFonts w:ascii="Arial" w:hAnsi="Arial" w:cs="Arial"/>
          <w:bCs/>
          <w:sz w:val="20"/>
        </w:rPr>
        <w:t xml:space="preserve"> the result of the revenue loss calculation or standard allowance.</w:t>
      </w:r>
    </w:p>
    <w:p w14:paraId="62D37BB6" w14:textId="058CACAA" w:rsidR="002140C9" w:rsidRPr="002140C9" w:rsidRDefault="002140C9" w:rsidP="002140C9">
      <w:pPr>
        <w:spacing w:after="240"/>
        <w:jc w:val="both"/>
        <w:rPr>
          <w:rFonts w:ascii="Arial" w:hAnsi="Arial" w:cs="Arial"/>
          <w:bCs/>
          <w:sz w:val="20"/>
        </w:rPr>
      </w:pPr>
      <w:r w:rsidRPr="002140C9">
        <w:rPr>
          <w:rFonts w:ascii="Arial" w:hAnsi="Arial" w:cs="Arial"/>
          <w:bCs/>
          <w:sz w:val="20"/>
        </w:rPr>
        <w:t>Additionally, because NEUs are considered direct recipients under CSLFRF, NEUs that do not elect or are not eligible for the alternative compliance examination engagement are required to report their award expenditures on the SEFA and data collection form as direct awards. Further, States must not report award funds that were required to be distributed to the NEUs on State SEFAs or data collection forms.</w:t>
      </w:r>
    </w:p>
    <w:p w14:paraId="7A9729EF" w14:textId="70720FC2" w:rsidR="002140C9" w:rsidRPr="002140C9" w:rsidRDefault="002140C9" w:rsidP="002140C9">
      <w:pPr>
        <w:spacing w:after="240"/>
        <w:jc w:val="both"/>
        <w:rPr>
          <w:rFonts w:ascii="Arial" w:hAnsi="Arial" w:cs="Arial"/>
          <w:b/>
          <w:bCs/>
          <w:sz w:val="20"/>
        </w:rPr>
      </w:pPr>
      <w:r w:rsidRPr="002140C9">
        <w:rPr>
          <w:rFonts w:ascii="Arial" w:hAnsi="Arial" w:cs="Arial"/>
          <w:b/>
          <w:bCs/>
          <w:sz w:val="20"/>
        </w:rPr>
        <w:t>Availability of Other Program Information</w:t>
      </w:r>
    </w:p>
    <w:p w14:paraId="2BF4DA05" w14:textId="4DEC3989" w:rsidR="002140C9" w:rsidRPr="002140C9" w:rsidRDefault="002140C9" w:rsidP="002140C9">
      <w:pPr>
        <w:spacing w:after="240"/>
        <w:jc w:val="both"/>
        <w:rPr>
          <w:rFonts w:ascii="Arial" w:hAnsi="Arial" w:cs="Arial"/>
          <w:bCs/>
          <w:sz w:val="20"/>
        </w:rPr>
      </w:pPr>
      <w:r w:rsidRPr="002140C9">
        <w:rPr>
          <w:rFonts w:ascii="Arial" w:hAnsi="Arial" w:cs="Arial"/>
          <w:bCs/>
          <w:sz w:val="20"/>
        </w:rPr>
        <w:t xml:space="preserve">Additional information on the requirements for CSLFRF is available through the program webpage on Treasury’s website at </w:t>
      </w:r>
      <w:hyperlink r:id="rId22" w:history="1">
        <w:r w:rsidRPr="00CD0CB2">
          <w:rPr>
            <w:rStyle w:val="Hyperlink"/>
            <w:rFonts w:ascii="Arial" w:hAnsi="Arial" w:cs="Arial"/>
            <w:bCs/>
            <w:sz w:val="20"/>
          </w:rPr>
          <w:t>https://home.treasury.gov/policy-issues/coronavirus/assistance-for-state-local-and-tribal-governments/state-and-local-fiscal-recovery-funds</w:t>
        </w:r>
      </w:hyperlink>
      <w:r w:rsidRPr="002140C9">
        <w:rPr>
          <w:rFonts w:ascii="Arial" w:hAnsi="Arial" w:cs="Arial"/>
          <w:bCs/>
          <w:sz w:val="20"/>
        </w:rPr>
        <w:t>.</w:t>
      </w:r>
      <w:r>
        <w:rPr>
          <w:rFonts w:ascii="Arial" w:hAnsi="Arial" w:cs="Arial"/>
          <w:bCs/>
          <w:sz w:val="20"/>
        </w:rPr>
        <w:t xml:space="preserve"> </w:t>
      </w:r>
      <w:r w:rsidRPr="002140C9">
        <w:rPr>
          <w:rFonts w:ascii="Arial" w:hAnsi="Arial" w:cs="Arial"/>
          <w:bCs/>
          <w:sz w:val="20"/>
        </w:rPr>
        <w:t xml:space="preserve">CSLFRF’s Compliance and Reporting Guidance can be found at </w:t>
      </w:r>
      <w:hyperlink r:id="rId23" w:history="1">
        <w:r w:rsidRPr="00CD0CB2">
          <w:rPr>
            <w:rStyle w:val="Hyperlink"/>
            <w:rFonts w:ascii="Arial" w:hAnsi="Arial" w:cs="Arial"/>
            <w:bCs/>
            <w:sz w:val="20"/>
          </w:rPr>
          <w:t>https://home.treasury.gov/policy-issues/coronavirus/assistance-for-state-local-and-tribal-governments/state-and-local-fiscal-recovery-funds/recipient-compliance-and-reporting-responsibilities</w:t>
        </w:r>
      </w:hyperlink>
      <w:r w:rsidRPr="002140C9">
        <w:rPr>
          <w:rFonts w:ascii="Arial" w:hAnsi="Arial" w:cs="Arial"/>
          <w:bCs/>
          <w:sz w:val="20"/>
        </w:rPr>
        <w:t>.</w:t>
      </w:r>
      <w:r>
        <w:rPr>
          <w:rFonts w:ascii="Arial" w:hAnsi="Arial" w:cs="Arial"/>
          <w:bCs/>
          <w:sz w:val="20"/>
        </w:rPr>
        <w:t xml:space="preserve">  </w:t>
      </w:r>
    </w:p>
    <w:p w14:paraId="7E318C26" w14:textId="17CCEE22" w:rsidR="008148E3" w:rsidRDefault="002140C9" w:rsidP="002140C9">
      <w:pPr>
        <w:spacing w:after="240"/>
        <w:jc w:val="both"/>
        <w:rPr>
          <w:rFonts w:ascii="Arial" w:hAnsi="Arial" w:cs="Arial"/>
          <w:bCs/>
          <w:sz w:val="20"/>
        </w:rPr>
      </w:pPr>
      <w:r w:rsidRPr="002140C9">
        <w:rPr>
          <w:rFonts w:ascii="Arial" w:hAnsi="Arial" w:cs="Arial"/>
          <w:bCs/>
          <w:sz w:val="20"/>
        </w:rPr>
        <w:t xml:space="preserve">FAQs about CSLFRF are outlined on the program webpage on Treasury’s website at </w:t>
      </w:r>
      <w:hyperlink r:id="rId24" w:history="1">
        <w:r w:rsidRPr="00CD0CB2">
          <w:rPr>
            <w:rStyle w:val="Hyperlink"/>
            <w:rFonts w:ascii="Arial" w:hAnsi="Arial" w:cs="Arial"/>
            <w:bCs/>
            <w:sz w:val="20"/>
          </w:rPr>
          <w:t>https://home.treasury.gov/policy-issues/coronavirus/assistance-for-state-local-and-tribal-governments/state-and-local-fiscal-recovery-funds</w:t>
        </w:r>
      </w:hyperlink>
      <w:r w:rsidRPr="002140C9">
        <w:rPr>
          <w:rFonts w:ascii="Arial" w:hAnsi="Arial" w:cs="Arial"/>
          <w:bCs/>
          <w:sz w:val="20"/>
        </w:rPr>
        <w:t>.</w:t>
      </w:r>
      <w:r>
        <w:rPr>
          <w:rFonts w:ascii="Arial" w:hAnsi="Arial" w:cs="Arial"/>
          <w:bCs/>
          <w:sz w:val="20"/>
        </w:rPr>
        <w:t xml:space="preserve"> </w:t>
      </w:r>
      <w:r w:rsidRPr="002140C9">
        <w:rPr>
          <w:rFonts w:ascii="Arial" w:hAnsi="Arial" w:cs="Arial"/>
          <w:bCs/>
          <w:sz w:val="20"/>
        </w:rPr>
        <w:t xml:space="preserve">If there are specific questions regarding CSLFRF, the Office of Recovery Programs may be contacted via e-mail at </w:t>
      </w:r>
      <w:hyperlink r:id="rId25" w:history="1">
        <w:r w:rsidRPr="00CD0CB2">
          <w:rPr>
            <w:rStyle w:val="Hyperlink"/>
            <w:rFonts w:ascii="Arial" w:hAnsi="Arial" w:cs="Arial"/>
            <w:bCs/>
            <w:sz w:val="20"/>
          </w:rPr>
          <w:t>SLFRF@treasury.gov</w:t>
        </w:r>
      </w:hyperlink>
      <w:r w:rsidRPr="002140C9">
        <w:rPr>
          <w:rFonts w:ascii="Arial" w:hAnsi="Arial" w:cs="Arial"/>
          <w:bCs/>
          <w:sz w:val="20"/>
        </w:rPr>
        <w:t>.</w:t>
      </w:r>
    </w:p>
    <w:p w14:paraId="271CCBFB" w14:textId="1778D657" w:rsidR="002140C9" w:rsidRPr="002140C9" w:rsidRDefault="002140C9" w:rsidP="002140C9">
      <w:pPr>
        <w:spacing w:after="240"/>
        <w:jc w:val="both"/>
        <w:rPr>
          <w:rFonts w:ascii="Arial" w:hAnsi="Arial" w:cs="Arial"/>
          <w:bCs/>
          <w:i/>
          <w:sz w:val="20"/>
        </w:rPr>
      </w:pPr>
      <w:r>
        <w:rPr>
          <w:rFonts w:ascii="Arial" w:hAnsi="Arial" w:cs="Arial"/>
          <w:bCs/>
          <w:i/>
          <w:sz w:val="20"/>
        </w:rPr>
        <w:t xml:space="preserve">(Source: 2022 OMB Compliance Supplement, Part 4, Treasury, 21.027 Coronavirus State and Local Fiscal Recovery Fund) </w:t>
      </w:r>
    </w:p>
    <w:p w14:paraId="4DDA80E5" w14:textId="77777777" w:rsidR="00432292" w:rsidRPr="00F00D94" w:rsidRDefault="00432292" w:rsidP="006672EA">
      <w:pPr>
        <w:spacing w:after="240"/>
        <w:jc w:val="both"/>
        <w:rPr>
          <w:rFonts w:ascii="Arial" w:hAnsi="Arial" w:cs="Arial"/>
          <w:b/>
          <w:bCs/>
          <w:szCs w:val="24"/>
        </w:rPr>
      </w:pP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26"/>
          <w:pgSz w:w="12240" w:h="15840" w:code="1"/>
          <w:pgMar w:top="1440" w:right="1440" w:bottom="1440" w:left="1440" w:header="720" w:footer="720" w:gutter="0"/>
          <w:cols w:space="720"/>
          <w:noEndnote/>
        </w:sectPr>
      </w:pPr>
    </w:p>
    <w:p w14:paraId="6CA12393" w14:textId="77777777" w:rsidR="006F570B" w:rsidRPr="00F00D94" w:rsidRDefault="006F570B" w:rsidP="006672EA">
      <w:pPr>
        <w:pStyle w:val="Heading1"/>
        <w:jc w:val="both"/>
        <w:rPr>
          <w:rFonts w:cs="Arial"/>
        </w:rPr>
      </w:pPr>
      <w:bookmarkStart w:id="14" w:name="_Toc442267684"/>
      <w:bookmarkStart w:id="15" w:name="_Toc115942597"/>
      <w:r w:rsidRPr="00F00D94">
        <w:rPr>
          <w:rFonts w:cs="Arial"/>
        </w:rPr>
        <w:lastRenderedPageBreak/>
        <w:t>Part II</w:t>
      </w:r>
      <w:bookmarkEnd w:id="14"/>
      <w:r w:rsidR="003644ED" w:rsidRPr="00F00D94">
        <w:rPr>
          <w:rFonts w:cs="Arial"/>
        </w:rPr>
        <w:t xml:space="preserve"> – Pass through Agency and Grant Specific Information</w:t>
      </w:r>
      <w:bookmarkEnd w:id="15"/>
    </w:p>
    <w:p w14:paraId="7CDEBE27" w14:textId="3C65FA5B" w:rsidR="003644ED" w:rsidRPr="00F00D94" w:rsidRDefault="00D04114" w:rsidP="006672EA">
      <w:pPr>
        <w:spacing w:after="240"/>
        <w:jc w:val="both"/>
        <w:rPr>
          <w:rFonts w:ascii="Arial" w:hAnsi="Arial" w:cs="Arial"/>
          <w:b/>
          <w:szCs w:val="24"/>
        </w:rPr>
      </w:pPr>
      <w:r w:rsidRPr="00F00D94">
        <w:rPr>
          <w:rFonts w:ascii="Arial" w:hAnsi="Arial" w:cs="Arial"/>
          <w:b/>
          <w:color w:val="FF0000"/>
          <w:szCs w:val="24"/>
          <w:highlight w:val="yellow"/>
        </w:rPr>
        <w:t xml:space="preserve">This section should contain introductory program specific information that is applicable to the program </w:t>
      </w:r>
      <w:r w:rsidR="00105E07" w:rsidRPr="00F00D94">
        <w:rPr>
          <w:rFonts w:ascii="Arial" w:hAnsi="Arial" w:cs="Arial"/>
          <w:b/>
          <w:color w:val="FF0000"/>
          <w:szCs w:val="24"/>
          <w:highlight w:val="yellow"/>
        </w:rPr>
        <w:t xml:space="preserve">AL </w:t>
      </w:r>
      <w:r w:rsidRPr="00F00D94">
        <w:rPr>
          <w:rFonts w:ascii="Arial" w:hAnsi="Arial" w:cs="Arial"/>
          <w:b/>
          <w:color w:val="FF0000"/>
          <w:szCs w:val="24"/>
          <w:highlight w:val="yellow"/>
        </w:rPr>
        <w:t>being tested from and contained within the individual grant agreement.</w:t>
      </w:r>
    </w:p>
    <w:p w14:paraId="238BF61F" w14:textId="0192A264" w:rsidR="003644ED" w:rsidRPr="00F00D94" w:rsidRDefault="003644ED" w:rsidP="006672EA">
      <w:pPr>
        <w:pStyle w:val="Heading3"/>
        <w:jc w:val="both"/>
        <w:rPr>
          <w:rFonts w:cs="Arial"/>
        </w:rPr>
      </w:pPr>
      <w:bookmarkStart w:id="16" w:name="_Toc115942598"/>
      <w:r w:rsidRPr="00F00D94">
        <w:rPr>
          <w:rFonts w:cs="Arial"/>
        </w:rPr>
        <w:t>Program Overview</w:t>
      </w:r>
      <w:bookmarkEnd w:id="16"/>
      <w:r w:rsidR="00B95AD4">
        <w:rPr>
          <w:rFonts w:cs="Arial"/>
        </w:rPr>
        <w:t xml:space="preserve"> and </w:t>
      </w:r>
      <w:bookmarkStart w:id="17" w:name="_Toc115942599"/>
      <w:r w:rsidRPr="00F00D94">
        <w:rPr>
          <w:rFonts w:cs="Arial"/>
        </w:rPr>
        <w:t>Testing Considerations</w:t>
      </w:r>
      <w:bookmarkEnd w:id="17"/>
    </w:p>
    <w:p w14:paraId="4B6DD4A2" w14:textId="77777777" w:rsidR="003644ED" w:rsidRPr="00F00D94" w:rsidRDefault="003644ED" w:rsidP="006672EA">
      <w:pPr>
        <w:spacing w:after="240"/>
        <w:jc w:val="both"/>
        <w:rPr>
          <w:rFonts w:ascii="Arial" w:hAnsi="Arial" w:cs="Arial"/>
          <w:sz w:val="20"/>
        </w:rPr>
      </w:pPr>
    </w:p>
    <w:p w14:paraId="4F832EBB" w14:textId="77777777" w:rsidR="003644ED" w:rsidRPr="00F00D94" w:rsidRDefault="003644ED" w:rsidP="006672EA">
      <w:pPr>
        <w:spacing w:after="240"/>
        <w:jc w:val="both"/>
        <w:rPr>
          <w:rFonts w:ascii="Arial" w:hAnsi="Arial" w:cs="Arial"/>
          <w:sz w:val="20"/>
        </w:rPr>
      </w:pPr>
    </w:p>
    <w:p w14:paraId="76A49AA4" w14:textId="77777777" w:rsidR="003644ED" w:rsidRPr="00F00D94" w:rsidRDefault="003644ED" w:rsidP="006672EA">
      <w:pPr>
        <w:pStyle w:val="Heading3"/>
        <w:jc w:val="both"/>
        <w:rPr>
          <w:rFonts w:cs="Arial"/>
        </w:rPr>
      </w:pPr>
      <w:bookmarkStart w:id="18" w:name="_Toc115942600"/>
      <w:r w:rsidRPr="00F00D94">
        <w:rPr>
          <w:rFonts w:cs="Arial"/>
        </w:rPr>
        <w:t>Reporting</w:t>
      </w:r>
      <w:bookmarkEnd w:id="18"/>
    </w:p>
    <w:p w14:paraId="45EF60DD" w14:textId="0E8ED8AF" w:rsidR="000C192B" w:rsidRPr="00F00D94" w:rsidRDefault="000C192B" w:rsidP="00D832F5">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27" w:history="1">
        <w:r w:rsidRPr="00F00D94">
          <w:rPr>
            <w:rStyle w:val="Hyperlink"/>
            <w:rFonts w:ascii="Arial" w:hAnsi="Arial" w:cs="Arial"/>
            <w:sz w:val="20"/>
          </w:rPr>
          <w:t>IPA Resource Internet Page</w:t>
        </w:r>
      </w:hyperlink>
      <w:r w:rsidR="00736508" w:rsidRPr="00F00D94">
        <w:rPr>
          <w:rFonts w:ascii="Arial" w:hAnsi="Arial" w:cs="Arial"/>
          <w:sz w:val="20"/>
        </w:rPr>
        <w:t xml:space="preserve">: </w:t>
      </w:r>
    </w:p>
    <w:p w14:paraId="23CD7633" w14:textId="3687FEE7" w:rsidR="002C6421" w:rsidRPr="00F00D94" w:rsidRDefault="000C192B" w:rsidP="00737F09">
      <w:pPr>
        <w:pStyle w:val="ListParagraph"/>
        <w:numPr>
          <w:ilvl w:val="0"/>
          <w:numId w:val="47"/>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737F09">
      <w:pPr>
        <w:pStyle w:val="ListParagraph"/>
        <w:numPr>
          <w:ilvl w:val="0"/>
          <w:numId w:val="47"/>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77777777" w:rsidR="003644ED" w:rsidRPr="00F00D94" w:rsidRDefault="00072C5E" w:rsidP="00F13178">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28"/>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19" w:name="_Toc442267685"/>
      <w:bookmarkStart w:id="20" w:name="_Toc115942601"/>
      <w:r w:rsidRPr="00F00D94">
        <w:rPr>
          <w:rFonts w:cs="Arial"/>
        </w:rPr>
        <w:lastRenderedPageBreak/>
        <w:t>PART III – APPLICABLE COMPLIANCE REQUIREMENTS</w:t>
      </w:r>
      <w:bookmarkEnd w:id="19"/>
      <w:bookmarkEnd w:id="20"/>
    </w:p>
    <w:p w14:paraId="5009BB8E" w14:textId="77777777" w:rsidR="007E5B12" w:rsidRPr="00F00D94" w:rsidRDefault="007E5B12" w:rsidP="006672EA">
      <w:pPr>
        <w:pStyle w:val="Heading2"/>
        <w:jc w:val="both"/>
        <w:rPr>
          <w:rFonts w:cs="Arial"/>
        </w:rPr>
      </w:pPr>
      <w:bookmarkStart w:id="21" w:name="_Toc442267686"/>
      <w:bookmarkStart w:id="22" w:name="_Toc115942602"/>
      <w:r w:rsidRPr="00F00D94">
        <w:rPr>
          <w:rFonts w:cs="Arial"/>
        </w:rPr>
        <w:t>A.  ACTIVITIES ALLOWED OR UNALLOWED</w:t>
      </w:r>
      <w:bookmarkEnd w:id="21"/>
      <w:bookmarkEnd w:id="22"/>
    </w:p>
    <w:p w14:paraId="206D1EF7" w14:textId="2F75D72F"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29" w:history="1">
        <w:r w:rsidR="00805DDB" w:rsidRPr="00F00D94">
          <w:rPr>
            <w:rStyle w:val="Hyperlink"/>
            <w:rFonts w:ascii="Arial" w:hAnsi="Arial" w:cs="Arial"/>
            <w:b/>
            <w:sz w:val="20"/>
          </w:rPr>
          <w:t>link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6989F249" w:rsidR="00885049" w:rsidRPr="00F00D94" w:rsidRDefault="00885049" w:rsidP="00AA5938">
      <w:pPr>
        <w:spacing w:after="240"/>
        <w:jc w:val="both"/>
        <w:rPr>
          <w:rFonts w:ascii="Arial" w:hAnsi="Arial" w:cs="Arial"/>
          <w:sz w:val="20"/>
        </w:rPr>
      </w:pPr>
      <w:bookmarkStart w:id="23" w:name="_Toc442267687"/>
      <w:r w:rsidRPr="00F00D94">
        <w:rPr>
          <w:rFonts w:ascii="Arial" w:hAnsi="Arial" w:cs="Arial"/>
          <w:sz w:val="20"/>
          <w:highlight w:val="yellow"/>
        </w:rPr>
        <w:t xml:space="preserve">All references to sections within 2 CFR Part 200 can be found </w:t>
      </w:r>
      <w:hyperlink r:id="rId30"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24" w:name="_Toc115942603"/>
      <w:r w:rsidRPr="00F00D94">
        <w:rPr>
          <w:rFonts w:cs="Arial"/>
        </w:rPr>
        <w:t xml:space="preserve">OMB </w:t>
      </w:r>
      <w:r w:rsidR="007E5B12" w:rsidRPr="00F00D94">
        <w:rPr>
          <w:rFonts w:cs="Arial"/>
        </w:rPr>
        <w:t>Compliance Requirements</w:t>
      </w:r>
      <w:bookmarkEnd w:id="23"/>
      <w:bookmarkEnd w:id="24"/>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2725CC3C"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31"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32" w:history="1">
        <w:r w:rsidR="00901C9F" w:rsidRPr="00F00D94">
          <w:rPr>
            <w:rStyle w:val="Hyperlink"/>
            <w:rFonts w:ascii="Arial" w:hAnsi="Arial" w:cs="Arial"/>
            <w:color w:val="FF0000"/>
            <w:sz w:val="20"/>
          </w:rPr>
          <w:t>at the following 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6672EA">
      <w:pPr>
        <w:spacing w:after="240"/>
        <w:jc w:val="both"/>
        <w:rPr>
          <w:rFonts w:ascii="Arial" w:hAnsi="Arial" w:cs="Arial"/>
          <w:b/>
        </w:rPr>
      </w:pPr>
      <w:r w:rsidRPr="00F00D94">
        <w:rPr>
          <w:rFonts w:ascii="Arial" w:hAnsi="Arial" w:cs="Arial"/>
          <w:b/>
        </w:rPr>
        <w:lastRenderedPageBreak/>
        <w:t>Part 4 OMB</w:t>
      </w:r>
      <w:r w:rsidR="009F5C5E" w:rsidRPr="00F00D94">
        <w:rPr>
          <w:rFonts w:ascii="Arial" w:hAnsi="Arial" w:cs="Arial"/>
          <w:b/>
        </w:rPr>
        <w:t xml:space="preserve"> </w:t>
      </w:r>
      <w:r w:rsidRPr="00F00D94">
        <w:rPr>
          <w:rFonts w:ascii="Arial" w:hAnsi="Arial" w:cs="Arial"/>
          <w:b/>
        </w:rPr>
        <w:t>Program Specific Requirements</w:t>
      </w:r>
    </w:p>
    <w:p w14:paraId="3CF2F6F2" w14:textId="429E7462" w:rsidR="00E00900" w:rsidRPr="00E00900" w:rsidRDefault="00E00900" w:rsidP="00E00900">
      <w:pPr>
        <w:spacing w:after="240"/>
        <w:jc w:val="both"/>
        <w:rPr>
          <w:rFonts w:ascii="Arial" w:hAnsi="Arial" w:cs="Arial"/>
          <w:bCs/>
          <w:sz w:val="20"/>
        </w:rPr>
      </w:pPr>
      <w:r w:rsidRPr="00E00900">
        <w:rPr>
          <w:rFonts w:ascii="Arial" w:hAnsi="Arial" w:cs="Arial"/>
          <w:bCs/>
          <w:sz w:val="20"/>
        </w:rPr>
        <w:t>Recipients may use CSLFRF payments for any eligible expenses subject to the restrictions set forth in sections 602 and 603 of the Social Security Act as added by section 9901 of the American Rescue Plan Act of 2021 (codified as 42 USC 802 and 42 USC 803 respectively), Treasury’s Interim Final Rule and Final Rule at 31 CFR sections</w:t>
      </w:r>
      <w:r>
        <w:rPr>
          <w:rFonts w:ascii="Arial" w:hAnsi="Arial" w:cs="Arial"/>
          <w:bCs/>
          <w:sz w:val="20"/>
        </w:rPr>
        <w:t xml:space="preserve"> </w:t>
      </w:r>
      <w:r w:rsidRPr="00E00900">
        <w:rPr>
          <w:rFonts w:ascii="Arial" w:hAnsi="Arial" w:cs="Arial"/>
          <w:bCs/>
          <w:sz w:val="20"/>
        </w:rPr>
        <w:t>35.7 and 35.8, and FAQs at (</w:t>
      </w:r>
      <w:hyperlink r:id="rId33" w:history="1">
        <w:r w:rsidRPr="00CD0CB2">
          <w:rPr>
            <w:rStyle w:val="Hyperlink"/>
            <w:rFonts w:ascii="Arial" w:hAnsi="Arial" w:cs="Arial"/>
            <w:bCs/>
            <w:sz w:val="20"/>
          </w:rPr>
          <w:t>https://home.treasury.gov/system/files/136/SLFRPFAQ.pdf</w:t>
        </w:r>
      </w:hyperlink>
      <w:r w:rsidRPr="00E00900">
        <w:rPr>
          <w:rFonts w:ascii="Arial" w:hAnsi="Arial" w:cs="Arial"/>
          <w:bCs/>
          <w:sz w:val="20"/>
        </w:rPr>
        <w:t>).</w:t>
      </w:r>
      <w:r>
        <w:rPr>
          <w:rFonts w:ascii="Arial" w:hAnsi="Arial" w:cs="Arial"/>
          <w:bCs/>
          <w:sz w:val="20"/>
        </w:rPr>
        <w:t xml:space="preserve"> </w:t>
      </w:r>
    </w:p>
    <w:p w14:paraId="08B6838D" w14:textId="77777777" w:rsidR="00E00900" w:rsidRPr="00E00900" w:rsidRDefault="00E00900" w:rsidP="00E00900">
      <w:pPr>
        <w:spacing w:after="240"/>
        <w:jc w:val="both"/>
        <w:rPr>
          <w:rFonts w:ascii="Arial" w:hAnsi="Arial" w:cs="Arial"/>
          <w:bCs/>
          <w:sz w:val="20"/>
        </w:rPr>
      </w:pPr>
      <w:r w:rsidRPr="00E00900">
        <w:rPr>
          <w:rFonts w:ascii="Arial" w:hAnsi="Arial" w:cs="Arial"/>
          <w:bCs/>
          <w:sz w:val="20"/>
        </w:rPr>
        <w:t xml:space="preserve">The following activities are </w:t>
      </w:r>
      <w:r w:rsidRPr="00737F09">
        <w:rPr>
          <w:rFonts w:ascii="Arial" w:hAnsi="Arial" w:cs="Arial"/>
          <w:b/>
          <w:bCs/>
          <w:sz w:val="20"/>
        </w:rPr>
        <w:t>not</w:t>
      </w:r>
      <w:r w:rsidRPr="00E00900">
        <w:rPr>
          <w:rFonts w:ascii="Arial" w:hAnsi="Arial" w:cs="Arial"/>
          <w:bCs/>
          <w:sz w:val="20"/>
        </w:rPr>
        <w:t xml:space="preserve"> permitted under CSLFRF:</w:t>
      </w:r>
    </w:p>
    <w:p w14:paraId="51F82619" w14:textId="77777777" w:rsidR="00E00900" w:rsidRDefault="00E00900" w:rsidP="00737F09">
      <w:pPr>
        <w:pStyle w:val="ListParagraph"/>
        <w:numPr>
          <w:ilvl w:val="0"/>
          <w:numId w:val="63"/>
        </w:numPr>
        <w:spacing w:after="240"/>
        <w:jc w:val="both"/>
        <w:rPr>
          <w:rFonts w:ascii="Arial" w:hAnsi="Arial" w:cs="Arial"/>
          <w:bCs/>
        </w:rPr>
      </w:pPr>
      <w:r w:rsidRPr="00E00900">
        <w:rPr>
          <w:rFonts w:ascii="Arial" w:hAnsi="Arial" w:cs="Arial"/>
          <w:bCs/>
        </w:rPr>
        <w:t>Offset a reduction in net tax revenue (applicable to states and territories)</w:t>
      </w:r>
    </w:p>
    <w:p w14:paraId="7DF2528A" w14:textId="77777777" w:rsidR="00E00900" w:rsidRDefault="00E00900" w:rsidP="00737F09">
      <w:pPr>
        <w:pStyle w:val="ListParagraph"/>
        <w:numPr>
          <w:ilvl w:val="0"/>
          <w:numId w:val="63"/>
        </w:numPr>
        <w:spacing w:after="240"/>
        <w:jc w:val="both"/>
        <w:rPr>
          <w:rFonts w:ascii="Arial" w:hAnsi="Arial" w:cs="Arial"/>
          <w:bCs/>
        </w:rPr>
      </w:pPr>
      <w:r w:rsidRPr="00E00900">
        <w:rPr>
          <w:rFonts w:ascii="Arial" w:hAnsi="Arial" w:cs="Arial"/>
          <w:bCs/>
        </w:rPr>
        <w:t>Deposits into pension funds (applicable to all recipients except Tribes)</w:t>
      </w:r>
    </w:p>
    <w:p w14:paraId="5E8544B5" w14:textId="77777777" w:rsidR="00E00900" w:rsidRDefault="00E00900" w:rsidP="00737F09">
      <w:pPr>
        <w:pStyle w:val="ListParagraph"/>
        <w:numPr>
          <w:ilvl w:val="0"/>
          <w:numId w:val="63"/>
        </w:numPr>
        <w:spacing w:after="240"/>
        <w:jc w:val="both"/>
        <w:rPr>
          <w:rFonts w:ascii="Arial" w:hAnsi="Arial" w:cs="Arial"/>
          <w:bCs/>
        </w:rPr>
      </w:pPr>
      <w:r w:rsidRPr="00E00900">
        <w:rPr>
          <w:rFonts w:ascii="Arial" w:hAnsi="Arial" w:cs="Arial"/>
          <w:bCs/>
        </w:rPr>
        <w:t>Debt service or replenishing financial reserves (e.g., “rainy day funds”) (applicable to all recipients)</w:t>
      </w:r>
    </w:p>
    <w:p w14:paraId="786CBB52" w14:textId="77777777" w:rsidR="00E00900" w:rsidRDefault="00E00900" w:rsidP="00737F09">
      <w:pPr>
        <w:pStyle w:val="ListParagraph"/>
        <w:numPr>
          <w:ilvl w:val="0"/>
          <w:numId w:val="63"/>
        </w:numPr>
        <w:spacing w:after="240"/>
        <w:jc w:val="both"/>
        <w:rPr>
          <w:rFonts w:ascii="Arial" w:hAnsi="Arial" w:cs="Arial"/>
          <w:bCs/>
        </w:rPr>
      </w:pPr>
      <w:r w:rsidRPr="00E00900">
        <w:rPr>
          <w:rFonts w:ascii="Arial" w:hAnsi="Arial" w:cs="Arial"/>
          <w:bCs/>
        </w:rPr>
        <w:t>Satisfaction of settlements and judgements (applicable to all recipients)</w:t>
      </w:r>
    </w:p>
    <w:p w14:paraId="06F67464" w14:textId="1976AA37" w:rsidR="00E00900" w:rsidRPr="00E00900" w:rsidRDefault="00E00900" w:rsidP="00737F09">
      <w:pPr>
        <w:pStyle w:val="ListParagraph"/>
        <w:numPr>
          <w:ilvl w:val="0"/>
          <w:numId w:val="63"/>
        </w:numPr>
        <w:spacing w:after="240"/>
        <w:jc w:val="both"/>
        <w:rPr>
          <w:rFonts w:ascii="Arial" w:hAnsi="Arial" w:cs="Arial"/>
          <w:bCs/>
        </w:rPr>
      </w:pPr>
      <w:r w:rsidRPr="00E00900">
        <w:rPr>
          <w:rFonts w:ascii="Arial" w:hAnsi="Arial" w:cs="Arial"/>
          <w:bCs/>
        </w:rPr>
        <w:t>Programs, services, or capital expenditures that include a term or condition that undermines efforts to stop the spread of COVID-19 (applicable to all recipients)</w:t>
      </w:r>
    </w:p>
    <w:p w14:paraId="11B61169" w14:textId="5444D417" w:rsidR="00E00900" w:rsidRPr="00E00900" w:rsidRDefault="00E00900" w:rsidP="00E00900">
      <w:pPr>
        <w:spacing w:after="240"/>
        <w:jc w:val="both"/>
        <w:rPr>
          <w:rFonts w:ascii="Arial" w:hAnsi="Arial" w:cs="Arial"/>
          <w:bCs/>
          <w:sz w:val="20"/>
        </w:rPr>
      </w:pPr>
      <w:r w:rsidRPr="00E00900">
        <w:rPr>
          <w:rFonts w:ascii="Arial" w:hAnsi="Arial" w:cs="Arial"/>
          <w:bCs/>
          <w:sz w:val="20"/>
        </w:rPr>
        <w:t xml:space="preserve"> Recipients m</w:t>
      </w:r>
      <w:r>
        <w:rPr>
          <w:rFonts w:ascii="Arial" w:hAnsi="Arial" w:cs="Arial"/>
          <w:bCs/>
          <w:sz w:val="20"/>
        </w:rPr>
        <w:t>ay use payments from CSLFRF to:</w:t>
      </w:r>
    </w:p>
    <w:p w14:paraId="64BD9A1A" w14:textId="77777777" w:rsidR="00E00900" w:rsidRDefault="00E00900" w:rsidP="00737F09">
      <w:pPr>
        <w:pStyle w:val="ListParagraph"/>
        <w:numPr>
          <w:ilvl w:val="0"/>
          <w:numId w:val="64"/>
        </w:numPr>
        <w:spacing w:after="240"/>
        <w:jc w:val="both"/>
        <w:rPr>
          <w:rFonts w:ascii="Arial" w:hAnsi="Arial" w:cs="Arial"/>
          <w:bCs/>
        </w:rPr>
      </w:pPr>
      <w:r w:rsidRPr="00737F09">
        <w:rPr>
          <w:rFonts w:ascii="Arial" w:hAnsi="Arial" w:cs="Arial"/>
          <w:b/>
          <w:bCs/>
        </w:rPr>
        <w:t>Support public health expenditures</w:t>
      </w:r>
      <w:r w:rsidRPr="00E00900">
        <w:rPr>
          <w:rFonts w:ascii="Arial" w:hAnsi="Arial" w:cs="Arial"/>
          <w:bCs/>
        </w:rPr>
        <w:t>, by funding COVID-19 mitigation efforts, medical expenses, behavioral healthcare, and certain public health and safety staff;</w:t>
      </w:r>
    </w:p>
    <w:p w14:paraId="75645657" w14:textId="77777777" w:rsidR="00E00900" w:rsidRDefault="00E00900" w:rsidP="00737F09">
      <w:pPr>
        <w:pStyle w:val="ListParagraph"/>
        <w:numPr>
          <w:ilvl w:val="0"/>
          <w:numId w:val="64"/>
        </w:numPr>
        <w:spacing w:after="240"/>
        <w:jc w:val="both"/>
        <w:rPr>
          <w:rFonts w:ascii="Arial" w:hAnsi="Arial" w:cs="Arial"/>
          <w:bCs/>
        </w:rPr>
      </w:pPr>
      <w:r w:rsidRPr="00737F09">
        <w:rPr>
          <w:rFonts w:ascii="Arial" w:hAnsi="Arial" w:cs="Arial"/>
          <w:b/>
          <w:bCs/>
        </w:rPr>
        <w:t>Address negative economic impacts caused by the public health emergency</w:t>
      </w:r>
      <w:r w:rsidRPr="00E00900">
        <w:rPr>
          <w:rFonts w:ascii="Arial" w:hAnsi="Arial" w:cs="Arial"/>
          <w:bCs/>
        </w:rPr>
        <w:t>, including economic harms to workers, households, small businesses, impacted industries, and the public sector;</w:t>
      </w:r>
    </w:p>
    <w:p w14:paraId="64FA29D2" w14:textId="77777777" w:rsidR="00E00900" w:rsidRDefault="00E00900" w:rsidP="00737F09">
      <w:pPr>
        <w:pStyle w:val="ListParagraph"/>
        <w:numPr>
          <w:ilvl w:val="0"/>
          <w:numId w:val="64"/>
        </w:numPr>
        <w:spacing w:after="240"/>
        <w:jc w:val="both"/>
        <w:rPr>
          <w:rFonts w:ascii="Arial" w:hAnsi="Arial" w:cs="Arial"/>
          <w:bCs/>
        </w:rPr>
      </w:pPr>
      <w:r w:rsidRPr="00737F09">
        <w:rPr>
          <w:rFonts w:ascii="Arial" w:hAnsi="Arial" w:cs="Arial"/>
          <w:b/>
          <w:bCs/>
        </w:rPr>
        <w:t xml:space="preserve">Replace lost public sector revenue </w:t>
      </w:r>
      <w:r w:rsidRPr="00737F09">
        <w:rPr>
          <w:rFonts w:ascii="Arial" w:hAnsi="Arial" w:cs="Arial"/>
          <w:bCs/>
        </w:rPr>
        <w:t>to provide government services</w:t>
      </w:r>
      <w:r w:rsidRPr="00E00900">
        <w:rPr>
          <w:rFonts w:ascii="Arial" w:hAnsi="Arial" w:cs="Arial"/>
          <w:bCs/>
        </w:rPr>
        <w:t>; recipients may use this funding to provide government services to the extent of the reduction in revenue experienced due to the pandemic.</w:t>
      </w:r>
    </w:p>
    <w:p w14:paraId="0FAB071A" w14:textId="77777777" w:rsidR="00E00900" w:rsidRDefault="00E00900" w:rsidP="00737F09">
      <w:pPr>
        <w:pStyle w:val="ListParagraph"/>
        <w:numPr>
          <w:ilvl w:val="0"/>
          <w:numId w:val="64"/>
        </w:numPr>
        <w:spacing w:after="240"/>
        <w:jc w:val="both"/>
        <w:rPr>
          <w:rFonts w:ascii="Arial" w:hAnsi="Arial" w:cs="Arial"/>
          <w:bCs/>
        </w:rPr>
      </w:pPr>
      <w:r w:rsidRPr="00737F09">
        <w:rPr>
          <w:rFonts w:ascii="Arial" w:hAnsi="Arial" w:cs="Arial"/>
          <w:b/>
          <w:bCs/>
        </w:rPr>
        <w:t>Provide premium pay for essential workers</w:t>
      </w:r>
      <w:r w:rsidRPr="00E00900">
        <w:rPr>
          <w:rFonts w:ascii="Arial" w:hAnsi="Arial" w:cs="Arial"/>
          <w:bCs/>
        </w:rPr>
        <w:t>, offering additional support to those who have borne and will bear the greatest health risks because of their service in critical infrastructure sectors; and</w:t>
      </w:r>
    </w:p>
    <w:p w14:paraId="56501BB3" w14:textId="44767674" w:rsidR="00E00900" w:rsidRPr="00E00900" w:rsidRDefault="00E00900" w:rsidP="00737F09">
      <w:pPr>
        <w:pStyle w:val="ListParagraph"/>
        <w:numPr>
          <w:ilvl w:val="0"/>
          <w:numId w:val="64"/>
        </w:numPr>
        <w:spacing w:after="240"/>
        <w:jc w:val="both"/>
        <w:rPr>
          <w:rFonts w:ascii="Arial" w:hAnsi="Arial" w:cs="Arial"/>
          <w:bCs/>
        </w:rPr>
      </w:pPr>
      <w:r w:rsidRPr="00737F09">
        <w:rPr>
          <w:rFonts w:ascii="Arial" w:hAnsi="Arial" w:cs="Arial"/>
          <w:b/>
          <w:bCs/>
        </w:rPr>
        <w:t>Invest in water, sewer, and broadband infrastructure</w:t>
      </w:r>
      <w:r w:rsidRPr="00E00900">
        <w:rPr>
          <w:rFonts w:ascii="Arial" w:hAnsi="Arial" w:cs="Arial"/>
          <w:bCs/>
        </w:rPr>
        <w:t>, making necessary investments to improve access to clean drinking water, support vital wastewater and stormwater infrastructure, and to expand access to broadband internet.</w:t>
      </w:r>
    </w:p>
    <w:p w14:paraId="68F3F0D4" w14:textId="77777777" w:rsidR="00E00900" w:rsidRPr="00E00900" w:rsidRDefault="00E00900" w:rsidP="00E00900">
      <w:pPr>
        <w:spacing w:after="240"/>
        <w:jc w:val="both"/>
        <w:rPr>
          <w:rFonts w:ascii="Arial" w:hAnsi="Arial" w:cs="Arial"/>
          <w:bCs/>
          <w:sz w:val="20"/>
        </w:rPr>
      </w:pPr>
      <w:r w:rsidRPr="00E00900">
        <w:rPr>
          <w:rFonts w:ascii="Arial" w:hAnsi="Arial" w:cs="Arial"/>
          <w:bCs/>
          <w:sz w:val="20"/>
        </w:rPr>
        <w:t>Under the Final Rule, recipients can elect a one-time “standard allowance” of $10 million (not to exceed the recipient’s award amount) to spend on the “provision of government services” during the period of performance. Alternatively, recipients can calculate lost revenue based on the formula provided in the Final Rule to determine the limit for the amount of CSLFRF funds that can be used for the “provision of government services.” Recipients should provide auditors with evidence that they meet the requirements to elect the standard allowance or provide auditors with evidence supporting their revenue loss calculation.</w:t>
      </w:r>
    </w:p>
    <w:p w14:paraId="51168EA2" w14:textId="0347709D" w:rsidR="00E00900" w:rsidRPr="00E00900" w:rsidRDefault="00E00900" w:rsidP="00E00900">
      <w:pPr>
        <w:spacing w:after="240"/>
        <w:jc w:val="both"/>
        <w:rPr>
          <w:rFonts w:ascii="Arial" w:hAnsi="Arial" w:cs="Arial"/>
          <w:bCs/>
          <w:sz w:val="20"/>
        </w:rPr>
      </w:pPr>
      <w:r w:rsidRPr="00E00900">
        <w:rPr>
          <w:rFonts w:ascii="Arial" w:hAnsi="Arial" w:cs="Arial"/>
          <w:bCs/>
          <w:sz w:val="20"/>
        </w:rPr>
        <w:t xml:space="preserve">The dollar amount of the revenue loss determines the limit for the amount of CSLFRF funds that can be used to “provide government services” (which is one of four eligible uses of CSLFRF funds). For SEFA reporting purposes, the aggregate expenditures for all four eligible use categories are reported on the SEFA and not the result of the revenue loss calculation or standard allowance. </w:t>
      </w:r>
      <w:r w:rsidR="00737F09">
        <w:rPr>
          <w:rFonts w:ascii="Arial" w:hAnsi="Arial" w:cs="Arial"/>
          <w:bCs/>
          <w:sz w:val="20"/>
        </w:rPr>
        <w:t>Part I</w:t>
      </w:r>
      <w:r w:rsidRPr="00E00900">
        <w:rPr>
          <w:rFonts w:ascii="Arial" w:hAnsi="Arial" w:cs="Arial"/>
          <w:bCs/>
          <w:sz w:val="20"/>
        </w:rPr>
        <w:t>, “Other Information” section for guidance on the related Schedule of Expenditures of Federal Award reporting.</w:t>
      </w:r>
    </w:p>
    <w:p w14:paraId="2C38F02E" w14:textId="1CCBCA24" w:rsidR="00E00900" w:rsidRPr="00E00900" w:rsidRDefault="00E00900" w:rsidP="006672EA">
      <w:pPr>
        <w:spacing w:after="240"/>
        <w:jc w:val="both"/>
        <w:rPr>
          <w:rFonts w:ascii="Arial" w:hAnsi="Arial" w:cs="Arial"/>
          <w:bCs/>
          <w:i/>
          <w:sz w:val="20"/>
        </w:rPr>
      </w:pPr>
      <w:r>
        <w:rPr>
          <w:rFonts w:ascii="Arial" w:hAnsi="Arial" w:cs="Arial"/>
          <w:bCs/>
          <w:i/>
          <w:sz w:val="20"/>
        </w:rPr>
        <w:lastRenderedPageBreak/>
        <w:t xml:space="preserve">(Source: 2022 OMB Compliance Supplement, Part 4, Treasury, 21.027 Coronavirus State and Local Fiscal Recovery Fund) </w:t>
      </w:r>
    </w:p>
    <w:p w14:paraId="0A90B4EE" w14:textId="77777777" w:rsidR="00A712B0" w:rsidRPr="00F00D94" w:rsidRDefault="00A712B0" w:rsidP="006672EA">
      <w:pPr>
        <w:pStyle w:val="Heading3"/>
        <w:jc w:val="both"/>
        <w:rPr>
          <w:rFonts w:cs="Arial"/>
        </w:rPr>
      </w:pPr>
      <w:bookmarkStart w:id="25" w:name="_Toc442267688"/>
      <w:bookmarkStart w:id="26" w:name="_Toc115942604"/>
      <w:r w:rsidRPr="00F00D94">
        <w:rPr>
          <w:rFonts w:cs="Arial"/>
        </w:rPr>
        <w:t>Additional Program Specific Information</w:t>
      </w:r>
      <w:bookmarkEnd w:id="25"/>
      <w:bookmarkEnd w:id="26"/>
    </w:p>
    <w:p w14:paraId="6C79B45F" w14:textId="53E3A57F" w:rsidR="00A712B0" w:rsidRPr="00F00D94" w:rsidRDefault="003644ED" w:rsidP="006672EA">
      <w:pP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Activities Allowed and Unallowed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requirements and delete this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p>
    <w:p w14:paraId="57EFB075" w14:textId="77777777" w:rsidR="00E41AA1" w:rsidRPr="00F00D94" w:rsidRDefault="00072C5E" w:rsidP="00F00D94">
      <w:pPr>
        <w:pStyle w:val="Heading3"/>
      </w:pPr>
      <w:bookmarkStart w:id="27" w:name="_Toc115942605"/>
      <w:r w:rsidRPr="00F00D94">
        <w:t>Audit Objectives</w:t>
      </w:r>
      <w:r w:rsidR="00EF51CC" w:rsidRPr="00F00D94">
        <w:t xml:space="preserve"> and Control Testing</w:t>
      </w:r>
      <w:bookmarkEnd w:id="27"/>
    </w:p>
    <w:p w14:paraId="568755AB"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77777777" w:rsidR="00B85001" w:rsidRPr="00F00D94" w:rsidRDefault="00EB1C72" w:rsidP="00737F09">
      <w:pPr>
        <w:pStyle w:val="BodyText"/>
        <w:widowControl w:val="0"/>
        <w:numPr>
          <w:ilvl w:val="0"/>
          <w:numId w:val="50"/>
        </w:numPr>
        <w:autoSpaceDE w:val="0"/>
        <w:autoSpaceDN w:val="0"/>
        <w:spacing w:after="0"/>
        <w:rPr>
          <w:rFonts w:ascii="Arial" w:hAnsi="Arial" w:cs="Arial"/>
          <w:sz w:val="20"/>
          <w:szCs w:val="20"/>
        </w:rPr>
      </w:pPr>
      <w:hyperlink r:id="rId34"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64E2B688" w14:textId="77777777" w:rsidR="00B85001" w:rsidRPr="00F00D94" w:rsidRDefault="00EB1C72" w:rsidP="00737F09">
      <w:pPr>
        <w:pStyle w:val="BodyText"/>
        <w:widowControl w:val="0"/>
        <w:numPr>
          <w:ilvl w:val="0"/>
          <w:numId w:val="50"/>
        </w:numPr>
        <w:autoSpaceDE w:val="0"/>
        <w:autoSpaceDN w:val="0"/>
        <w:spacing w:after="0"/>
        <w:rPr>
          <w:rFonts w:ascii="Arial" w:hAnsi="Arial" w:cs="Arial"/>
          <w:sz w:val="20"/>
          <w:szCs w:val="20"/>
        </w:rPr>
      </w:pPr>
      <w:hyperlink r:id="rId35" w:history="1">
        <w:r w:rsidR="00B85001" w:rsidRPr="00F00D94">
          <w:rPr>
            <w:rStyle w:val="Hyperlink"/>
            <w:rFonts w:ascii="Arial" w:hAnsi="Arial" w:cs="Arial"/>
            <w:sz w:val="20"/>
            <w:szCs w:val="20"/>
          </w:rPr>
          <w:t>2013 COSO</w:t>
        </w:r>
      </w:hyperlink>
    </w:p>
    <w:p w14:paraId="0F5881B2" w14:textId="5E6EA141" w:rsidR="00B85001" w:rsidRPr="00F00D94" w:rsidRDefault="00EB1C72" w:rsidP="00737F09">
      <w:pPr>
        <w:pStyle w:val="BodyText"/>
        <w:widowControl w:val="0"/>
        <w:numPr>
          <w:ilvl w:val="0"/>
          <w:numId w:val="50"/>
        </w:numPr>
        <w:autoSpaceDE w:val="0"/>
        <w:autoSpaceDN w:val="0"/>
        <w:rPr>
          <w:rStyle w:val="Hyperlink"/>
          <w:rFonts w:ascii="Arial" w:hAnsi="Arial" w:cs="Arial"/>
          <w:color w:val="auto"/>
          <w:sz w:val="20"/>
          <w:szCs w:val="20"/>
          <w:u w:val="none"/>
        </w:rPr>
      </w:pPr>
      <w:hyperlink r:id="rId36" w:history="1">
        <w:r w:rsidR="00B85001" w:rsidRPr="00F00D94">
          <w:rPr>
            <w:rStyle w:val="Hyperlink"/>
            <w:rFonts w:ascii="Arial" w:hAnsi="Arial" w:cs="Arial"/>
            <w:sz w:val="20"/>
            <w:szCs w:val="20"/>
          </w:rPr>
          <w:t>GAO’s 2014 Green Book</w:t>
        </w:r>
      </w:hyperlink>
    </w:p>
    <w:p w14:paraId="552D2B28" w14:textId="4C37CDA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77777777" w:rsidR="00B85001" w:rsidRPr="00F00D94" w:rsidRDefault="00B85001" w:rsidP="00737F09">
      <w:pPr>
        <w:pStyle w:val="ListParagraph"/>
        <w:widowControl w:val="0"/>
        <w:numPr>
          <w:ilvl w:val="0"/>
          <w:numId w:val="49"/>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5FA1EA6D" w14:textId="6863DEC6"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737F09">
      <w:pPr>
        <w:pStyle w:val="ListParagraph"/>
        <w:widowControl w:val="0"/>
        <w:numPr>
          <w:ilvl w:val="0"/>
          <w:numId w:val="49"/>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0B729949" w:rsidR="007942F3" w:rsidRPr="00F00D94" w:rsidRDefault="00B85001" w:rsidP="00B85001">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77777777" w:rsidR="00E41AA1" w:rsidRPr="00F00D94" w:rsidRDefault="00E41AA1" w:rsidP="006672EA">
      <w:pPr>
        <w:pStyle w:val="Heading3"/>
        <w:jc w:val="both"/>
        <w:rPr>
          <w:rFonts w:cs="Arial"/>
        </w:rPr>
      </w:pPr>
      <w:bookmarkStart w:id="28" w:name="_Toc115942606"/>
      <w:r w:rsidRPr="00F00D94">
        <w:rPr>
          <w:rFonts w:cs="Arial"/>
        </w:rPr>
        <w:lastRenderedPageBreak/>
        <w:t>Suggested Audit Procedures – Compliance</w:t>
      </w:r>
      <w:bookmarkEnd w:id="28"/>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6CAD11A4" w14:textId="77777777" w:rsidR="00C920B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p w14:paraId="1EBAEAB7" w14:textId="4F7D500E" w:rsidR="00737F09" w:rsidRPr="00F00D94" w:rsidRDefault="00737F09" w:rsidP="006672EA">
            <w:pPr>
              <w:spacing w:after="240"/>
              <w:jc w:val="both"/>
              <w:rPr>
                <w:rFonts w:ascii="Arial" w:hAnsi="Arial" w:cs="Arial"/>
                <w:b/>
                <w:sz w:val="20"/>
              </w:rPr>
            </w:pPr>
            <w:r w:rsidRPr="00255D72">
              <w:rPr>
                <w:rFonts w:ascii="Arial" w:hAnsi="Arial" w:cs="Arial"/>
                <w:b/>
                <w:sz w:val="20"/>
                <w:highlight w:val="green"/>
              </w:rPr>
              <w:t xml:space="preserve">Additional Steps from </w:t>
            </w:r>
            <w:r>
              <w:rPr>
                <w:rFonts w:ascii="Arial" w:hAnsi="Arial" w:cs="Arial"/>
                <w:b/>
                <w:sz w:val="20"/>
                <w:highlight w:val="green"/>
              </w:rPr>
              <w:t xml:space="preserve">AOS </w:t>
            </w:r>
            <w:r w:rsidRPr="00255D72">
              <w:rPr>
                <w:rFonts w:ascii="Arial" w:hAnsi="Arial" w:cs="Arial"/>
                <w:b/>
                <w:sz w:val="20"/>
                <w:highlight w:val="green"/>
              </w:rPr>
              <w:t>CFAE</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6EE1D421" w:rsidR="00C920B4" w:rsidRDefault="00C920B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When allowability is determined based upon individual transactions, select a sample of transactions and perform procedures to verify that the transaction was for an allowable activity.</w:t>
            </w:r>
          </w:p>
          <w:p w14:paraId="4BC8190F" w14:textId="77777777" w:rsidR="00737F09" w:rsidRPr="00255D72" w:rsidRDefault="00737F09" w:rsidP="00737F09">
            <w:pPr>
              <w:spacing w:after="240"/>
              <w:ind w:left="720" w:hanging="19"/>
              <w:jc w:val="both"/>
              <w:rPr>
                <w:rFonts w:ascii="Arial" w:hAnsi="Arial" w:cs="Arial"/>
                <w:sz w:val="20"/>
                <w:highlight w:val="green"/>
              </w:rPr>
            </w:pPr>
            <w:r w:rsidRPr="00255D72">
              <w:rPr>
                <w:rFonts w:ascii="Arial" w:hAnsi="Arial" w:cs="Arial"/>
                <w:sz w:val="20"/>
                <w:highlight w:val="green"/>
              </w:rPr>
              <w:t>Entity management is required to determine under which of the allowable use categories (or “buckets”) they are charging each expenditure. In order for auditors to verify that a particular cost is allowable, the following must be tested:</w:t>
            </w:r>
          </w:p>
          <w:p w14:paraId="5676322F" w14:textId="77777777" w:rsidR="00737F09" w:rsidRPr="00255D72" w:rsidRDefault="00737F09" w:rsidP="00737F09">
            <w:pPr>
              <w:pStyle w:val="ListParagraph"/>
              <w:numPr>
                <w:ilvl w:val="0"/>
                <w:numId w:val="65"/>
              </w:numPr>
              <w:spacing w:after="240"/>
              <w:jc w:val="both"/>
              <w:rPr>
                <w:rFonts w:ascii="Arial" w:hAnsi="Arial" w:cs="Arial"/>
                <w:highlight w:val="green"/>
              </w:rPr>
            </w:pPr>
            <w:r w:rsidRPr="00255D72">
              <w:rPr>
                <w:rFonts w:ascii="Arial" w:hAnsi="Arial" w:cs="Arial"/>
                <w:highlight w:val="green"/>
              </w:rPr>
              <w:t>Determine whether management identified which category the expenditure was charged to. The allowable use categories are:</w:t>
            </w:r>
          </w:p>
          <w:p w14:paraId="0F7017D5" w14:textId="09B74D7E" w:rsidR="00737F09" w:rsidRPr="00255D72" w:rsidRDefault="00737F09" w:rsidP="00737F09">
            <w:pPr>
              <w:pStyle w:val="ListParagraph"/>
              <w:numPr>
                <w:ilvl w:val="1"/>
                <w:numId w:val="65"/>
              </w:numPr>
              <w:jc w:val="both"/>
              <w:rPr>
                <w:rFonts w:ascii="Arial" w:hAnsi="Arial" w:cs="Arial"/>
                <w:highlight w:val="green"/>
              </w:rPr>
            </w:pPr>
            <w:r w:rsidRPr="00255D72">
              <w:rPr>
                <w:rFonts w:ascii="Arial" w:hAnsi="Arial" w:cs="Arial"/>
                <w:highlight w:val="green"/>
              </w:rPr>
              <w:t xml:space="preserve">Provide Government Services Up to the </w:t>
            </w:r>
            <w:r w:rsidR="00C84460">
              <w:rPr>
                <w:rFonts w:ascii="Arial" w:hAnsi="Arial" w:cs="Arial"/>
                <w:highlight w:val="green"/>
              </w:rPr>
              <w:t xml:space="preserve">(1) </w:t>
            </w:r>
            <w:r w:rsidRPr="00255D72">
              <w:rPr>
                <w:rFonts w:ascii="Arial" w:hAnsi="Arial" w:cs="Arial"/>
                <w:highlight w:val="green"/>
              </w:rPr>
              <w:t>Amount of Revenue Loss Due to the Pandemic</w:t>
            </w:r>
            <w:r w:rsidR="00C84460">
              <w:rPr>
                <w:rFonts w:ascii="Arial" w:hAnsi="Arial" w:cs="Arial"/>
                <w:highlight w:val="green"/>
              </w:rPr>
              <w:t xml:space="preserve"> or (2) The Standard Allowance </w:t>
            </w:r>
          </w:p>
          <w:p w14:paraId="6F292E6D" w14:textId="379DA562" w:rsidR="00C84460" w:rsidRPr="00925654" w:rsidRDefault="00C84460" w:rsidP="00650A2A">
            <w:pPr>
              <w:pStyle w:val="ListParagraph"/>
              <w:numPr>
                <w:ilvl w:val="1"/>
                <w:numId w:val="65"/>
              </w:numPr>
              <w:jc w:val="both"/>
              <w:rPr>
                <w:rFonts w:ascii="Arial" w:hAnsi="Arial" w:cs="Arial"/>
                <w:highlight w:val="green"/>
              </w:rPr>
            </w:pPr>
            <w:r w:rsidRPr="00925654">
              <w:rPr>
                <w:rFonts w:ascii="Arial" w:hAnsi="Arial" w:cs="Arial"/>
                <w:highlight w:val="green"/>
              </w:rPr>
              <w:t>Support Public Health Expenditures</w:t>
            </w:r>
            <w:r w:rsidR="00925654" w:rsidRPr="00925654">
              <w:rPr>
                <w:rFonts w:ascii="Arial" w:hAnsi="Arial" w:cs="Arial"/>
                <w:highlight w:val="green"/>
              </w:rPr>
              <w:t xml:space="preserve"> </w:t>
            </w:r>
            <w:r w:rsidR="00925654">
              <w:rPr>
                <w:rFonts w:ascii="Arial" w:hAnsi="Arial" w:cs="Arial"/>
                <w:highlight w:val="green"/>
              </w:rPr>
              <w:t>and A</w:t>
            </w:r>
            <w:r w:rsidRPr="00925654">
              <w:rPr>
                <w:rFonts w:ascii="Arial" w:hAnsi="Arial" w:cs="Arial"/>
                <w:highlight w:val="green"/>
              </w:rPr>
              <w:t>ddress Negative Economic Impacts Caused by the Public Health Emergency</w:t>
            </w:r>
            <w:r w:rsidR="00925654">
              <w:rPr>
                <w:rFonts w:ascii="Arial" w:hAnsi="Arial" w:cs="Arial"/>
                <w:highlight w:val="green"/>
              </w:rPr>
              <w:t xml:space="preserve"> (Public Health and Economic Response or PHER)</w:t>
            </w:r>
          </w:p>
          <w:p w14:paraId="7A5B9E4C" w14:textId="77777777" w:rsidR="00737F09" w:rsidRPr="00255D72" w:rsidRDefault="00737F09" w:rsidP="00737F09">
            <w:pPr>
              <w:pStyle w:val="ListParagraph"/>
              <w:numPr>
                <w:ilvl w:val="1"/>
                <w:numId w:val="65"/>
              </w:numPr>
              <w:jc w:val="both"/>
              <w:rPr>
                <w:rFonts w:ascii="Arial" w:hAnsi="Arial" w:cs="Arial"/>
                <w:highlight w:val="green"/>
              </w:rPr>
            </w:pPr>
            <w:r w:rsidRPr="00255D72">
              <w:rPr>
                <w:rFonts w:ascii="Arial" w:hAnsi="Arial" w:cs="Arial"/>
                <w:highlight w:val="green"/>
              </w:rPr>
              <w:t>Provide Premium Pay to Essential Workers</w:t>
            </w:r>
          </w:p>
          <w:p w14:paraId="27A2B5A8" w14:textId="552201BE" w:rsidR="00737F09" w:rsidRDefault="00737F09" w:rsidP="00C84460">
            <w:pPr>
              <w:pStyle w:val="ListParagraph"/>
              <w:numPr>
                <w:ilvl w:val="1"/>
                <w:numId w:val="65"/>
              </w:numPr>
              <w:jc w:val="both"/>
              <w:rPr>
                <w:rFonts w:ascii="Arial" w:hAnsi="Arial" w:cs="Arial"/>
                <w:highlight w:val="green"/>
              </w:rPr>
            </w:pPr>
            <w:r w:rsidRPr="00255D72">
              <w:rPr>
                <w:rFonts w:ascii="Arial" w:hAnsi="Arial" w:cs="Arial"/>
                <w:highlight w:val="green"/>
              </w:rPr>
              <w:t>Invest in W</w:t>
            </w:r>
            <w:r w:rsidR="00C84460">
              <w:rPr>
                <w:rFonts w:ascii="Arial" w:hAnsi="Arial" w:cs="Arial"/>
                <w:highlight w:val="green"/>
              </w:rPr>
              <w:t xml:space="preserve">ater, </w:t>
            </w:r>
            <w:r w:rsidRPr="00255D72">
              <w:rPr>
                <w:rFonts w:ascii="Arial" w:hAnsi="Arial" w:cs="Arial"/>
                <w:highlight w:val="green"/>
              </w:rPr>
              <w:t>Sewer</w:t>
            </w:r>
            <w:r w:rsidR="00C84460">
              <w:rPr>
                <w:rFonts w:ascii="Arial" w:hAnsi="Arial" w:cs="Arial"/>
                <w:highlight w:val="green"/>
              </w:rPr>
              <w:t>, and Broadband</w:t>
            </w:r>
            <w:r w:rsidRPr="00255D72">
              <w:rPr>
                <w:rFonts w:ascii="Arial" w:hAnsi="Arial" w:cs="Arial"/>
                <w:highlight w:val="green"/>
              </w:rPr>
              <w:t xml:space="preserve"> Infrastructure </w:t>
            </w:r>
          </w:p>
          <w:p w14:paraId="14A9B3D6" w14:textId="77777777" w:rsidR="00C84460" w:rsidRPr="00C84460" w:rsidRDefault="00C84460" w:rsidP="00C84460">
            <w:pPr>
              <w:pStyle w:val="ListParagraph"/>
              <w:ind w:left="2141"/>
              <w:jc w:val="both"/>
              <w:rPr>
                <w:rFonts w:ascii="Arial" w:hAnsi="Arial" w:cs="Arial"/>
                <w:highlight w:val="green"/>
              </w:rPr>
            </w:pPr>
          </w:p>
          <w:p w14:paraId="281FAF38" w14:textId="74E18A35" w:rsidR="00737F09" w:rsidRPr="00BA5E35" w:rsidRDefault="00737F09" w:rsidP="00737F09">
            <w:pPr>
              <w:spacing w:after="240"/>
              <w:ind w:left="1415"/>
              <w:jc w:val="both"/>
              <w:rPr>
                <w:rFonts w:ascii="Arial" w:hAnsi="Arial" w:cs="Arial"/>
                <w:sz w:val="20"/>
                <w:szCs w:val="20"/>
                <w:highlight w:val="green"/>
              </w:rPr>
            </w:pPr>
            <w:r w:rsidRPr="00BA5E35">
              <w:rPr>
                <w:rFonts w:ascii="Arial" w:hAnsi="Arial" w:cs="Arial"/>
                <w:sz w:val="20"/>
                <w:szCs w:val="20"/>
                <w:highlight w:val="green"/>
              </w:rPr>
              <w:t xml:space="preserve">See </w:t>
            </w:r>
            <w:hyperlink r:id="rId37" w:history="1">
              <w:r w:rsidRPr="00BA5E35">
                <w:rPr>
                  <w:rStyle w:val="Hyperlink"/>
                  <w:rFonts w:ascii="Arial" w:hAnsi="Arial" w:cs="Arial"/>
                  <w:sz w:val="20"/>
                  <w:highlight w:val="green"/>
                </w:rPr>
                <w:t>https://ohioauditor.gov/resources/covid19_assistance.html</w:t>
              </w:r>
            </w:hyperlink>
            <w:r w:rsidRPr="00BA5E35">
              <w:rPr>
                <w:rFonts w:ascii="Arial" w:hAnsi="Arial" w:cs="Arial"/>
                <w:sz w:val="20"/>
                <w:szCs w:val="20"/>
                <w:highlight w:val="green"/>
              </w:rPr>
              <w:t xml:space="preserve"> for further information on the allowable use categories. Specifically,</w:t>
            </w:r>
            <w:r w:rsidR="005310B6">
              <w:rPr>
                <w:rFonts w:ascii="Arial" w:hAnsi="Arial" w:cs="Arial"/>
                <w:sz w:val="20"/>
                <w:szCs w:val="20"/>
                <w:highlight w:val="green"/>
              </w:rPr>
              <w:t xml:space="preserve"> the</w:t>
            </w:r>
            <w:r w:rsidRPr="00BA5E35">
              <w:rPr>
                <w:rFonts w:ascii="Arial" w:hAnsi="Arial" w:cs="Arial"/>
                <w:sz w:val="20"/>
                <w:szCs w:val="20"/>
                <w:highlight w:val="green"/>
              </w:rPr>
              <w:t xml:space="preserve"> FAQs and </w:t>
            </w:r>
            <w:r w:rsidR="005310B6">
              <w:rPr>
                <w:rFonts w:ascii="Arial" w:hAnsi="Arial" w:cs="Arial"/>
                <w:sz w:val="20"/>
                <w:szCs w:val="20"/>
                <w:highlight w:val="green"/>
              </w:rPr>
              <w:t>F</w:t>
            </w:r>
            <w:r w:rsidRPr="00BA5E35">
              <w:rPr>
                <w:rFonts w:ascii="Arial" w:hAnsi="Arial" w:cs="Arial"/>
                <w:sz w:val="20"/>
                <w:szCs w:val="20"/>
                <w:highlight w:val="green"/>
              </w:rPr>
              <w:t>or Clients</w:t>
            </w:r>
            <w:r w:rsidR="005310B6">
              <w:rPr>
                <w:rFonts w:ascii="Arial" w:hAnsi="Arial" w:cs="Arial"/>
                <w:sz w:val="20"/>
                <w:szCs w:val="20"/>
                <w:highlight w:val="green"/>
              </w:rPr>
              <w:t xml:space="preserve"> pages</w:t>
            </w:r>
            <w:r w:rsidRPr="00BA5E35">
              <w:rPr>
                <w:rFonts w:ascii="Arial" w:hAnsi="Arial" w:cs="Arial"/>
                <w:sz w:val="20"/>
                <w:szCs w:val="20"/>
                <w:highlight w:val="green"/>
              </w:rPr>
              <w:t xml:space="preserve"> provide additional details. </w:t>
            </w:r>
          </w:p>
          <w:p w14:paraId="6291D23B" w14:textId="77777777" w:rsidR="00737F09" w:rsidRPr="00255D72" w:rsidRDefault="00737F09" w:rsidP="00737F09">
            <w:pPr>
              <w:pStyle w:val="ListParagraph"/>
              <w:numPr>
                <w:ilvl w:val="0"/>
                <w:numId w:val="65"/>
              </w:numPr>
              <w:spacing w:after="240"/>
              <w:jc w:val="both"/>
              <w:rPr>
                <w:rFonts w:ascii="Arial" w:hAnsi="Arial" w:cs="Arial"/>
                <w:highlight w:val="green"/>
              </w:rPr>
            </w:pPr>
            <w:r w:rsidRPr="00255D72">
              <w:rPr>
                <w:rFonts w:ascii="Arial" w:hAnsi="Arial" w:cs="Arial"/>
                <w:highlight w:val="green"/>
              </w:rPr>
              <w:t>Determine whether the identified allowable use category is appropriate for the expenditure.</w:t>
            </w:r>
          </w:p>
          <w:p w14:paraId="6893E45B" w14:textId="24EFACF5" w:rsidR="00737F09" w:rsidRPr="00737F09" w:rsidRDefault="00737F09" w:rsidP="00737F09">
            <w:pPr>
              <w:pStyle w:val="ListParagraph"/>
              <w:numPr>
                <w:ilvl w:val="0"/>
                <w:numId w:val="65"/>
              </w:numPr>
              <w:spacing w:after="240"/>
              <w:jc w:val="both"/>
              <w:rPr>
                <w:rFonts w:ascii="Arial" w:hAnsi="Arial" w:cs="Arial"/>
                <w:highlight w:val="green"/>
              </w:rPr>
            </w:pPr>
            <w:r w:rsidRPr="00255D72">
              <w:rPr>
                <w:rFonts w:ascii="Arial" w:hAnsi="Arial" w:cs="Arial"/>
                <w:highlight w:val="green"/>
              </w:rPr>
              <w:t xml:space="preserve">Determine whether the expenditure is allowable under the unique restrictions of the allowable use category. </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52189B8F" w14:textId="4460992A" w:rsidR="00737F09" w:rsidRPr="00737F09" w:rsidRDefault="00737F09" w:rsidP="00737F09">
            <w:pPr>
              <w:pStyle w:val="ListParagraph"/>
              <w:numPr>
                <w:ilvl w:val="0"/>
                <w:numId w:val="61"/>
              </w:numPr>
              <w:spacing w:after="240"/>
              <w:ind w:hanging="739"/>
              <w:jc w:val="both"/>
              <w:rPr>
                <w:rFonts w:ascii="Arial" w:hAnsi="Arial" w:cs="Arial"/>
              </w:rPr>
            </w:pPr>
            <w:r w:rsidRPr="00737F09">
              <w:rPr>
                <w:rFonts w:ascii="Arial" w:hAnsi="Arial" w:cs="Arial"/>
                <w:highlight w:val="green"/>
              </w:rPr>
              <w:t xml:space="preserve">Verify, using the table below, that the </w:t>
            </w:r>
            <w:r w:rsidRPr="00737F09">
              <w:rPr>
                <w:rFonts w:ascii="Arial" w:hAnsi="Arial" w:cs="Arial"/>
                <w:b/>
                <w:highlight w:val="green"/>
              </w:rPr>
              <w:t>cumulative</w:t>
            </w:r>
            <w:r w:rsidRPr="00737F09">
              <w:rPr>
                <w:rFonts w:ascii="Arial" w:hAnsi="Arial" w:cs="Arial"/>
                <w:highlight w:val="green"/>
              </w:rPr>
              <w:t xml:space="preserve"> charges under the revenue loss category over the life of the program do not exceed either (a) the $10 million standard allowance for revenue loss </w:t>
            </w:r>
            <w:r w:rsidR="00B54516">
              <w:rPr>
                <w:rFonts w:ascii="Arial" w:hAnsi="Arial" w:cs="Arial"/>
                <w:highlight w:val="green"/>
              </w:rPr>
              <w:t xml:space="preserve">(capped by the total award amount) </w:t>
            </w:r>
            <w:r w:rsidRPr="00737F09">
              <w:rPr>
                <w:rFonts w:ascii="Arial" w:hAnsi="Arial" w:cs="Arial"/>
                <w:highlight w:val="green"/>
              </w:rPr>
              <w:t xml:space="preserve">or (b) the entity’s calculated revenue loss. </w:t>
            </w:r>
            <w:r w:rsidR="00925654">
              <w:rPr>
                <w:rFonts w:ascii="Arial" w:hAnsi="Arial" w:cs="Arial"/>
                <w:highlight w:val="green"/>
              </w:rPr>
              <w:t>I</w:t>
            </w:r>
            <w:r w:rsidRPr="00737F09">
              <w:rPr>
                <w:rFonts w:ascii="Arial" w:hAnsi="Arial" w:cs="Arial"/>
                <w:highlight w:val="green"/>
              </w:rPr>
              <w:t xml:space="preserve">f the total </w:t>
            </w:r>
            <w:r w:rsidRPr="00737F09">
              <w:rPr>
                <w:rFonts w:ascii="Arial" w:hAnsi="Arial" w:cs="Arial"/>
                <w:highlight w:val="green"/>
              </w:rPr>
              <w:lastRenderedPageBreak/>
              <w:t xml:space="preserve">allocated by management to the revenue loss “bucket” is less than the amount allowed using the methods described in (a) or (b), the lesser amount should be included in column two below.  </w:t>
            </w:r>
            <w:r w:rsidR="00925654">
              <w:rPr>
                <w:rFonts w:ascii="Arial" w:hAnsi="Arial" w:cs="Arial"/>
                <w:highlight w:val="green"/>
              </w:rPr>
              <w:t>T</w:t>
            </w:r>
            <w:r w:rsidRPr="00737F09">
              <w:rPr>
                <w:rFonts w:ascii="Arial" w:hAnsi="Arial" w:cs="Arial"/>
                <w:highlight w:val="green"/>
              </w:rPr>
              <w:t>he amount in the final column should never be less than zero.</w:t>
            </w:r>
          </w:p>
          <w:p w14:paraId="15148CFA" w14:textId="21AC9E69" w:rsidR="00737F09" w:rsidRDefault="00737F09" w:rsidP="00737F09">
            <w:pPr>
              <w:pStyle w:val="ListParagraph"/>
              <w:spacing w:after="240"/>
              <w:ind w:left="701"/>
              <w:jc w:val="both"/>
              <w:rPr>
                <w:rFonts w:ascii="Arial" w:hAnsi="Arial" w:cs="Arial"/>
              </w:rPr>
            </w:pPr>
            <w:r w:rsidRPr="00837159">
              <w:rPr>
                <w:rFonts w:ascii="Arial" w:hAnsi="Arial" w:cs="Arial"/>
                <w:highlight w:val="green"/>
              </w:rPr>
              <w:t>Note that the entity must select which method they are using for revenue loss (standard allowance or calculation) and that selection must remain in place for the entire grant period</w:t>
            </w:r>
            <w:r w:rsidR="00B54516">
              <w:rPr>
                <w:rFonts w:ascii="Arial" w:hAnsi="Arial" w:cs="Arial"/>
                <w:highlight w:val="green"/>
              </w:rPr>
              <w:t>.  This selection must be made by April 2023. Prior to the April 2023 reporting period, entities may change their election and the change will supersede the prior selection</w:t>
            </w:r>
            <w:r w:rsidRPr="00837159">
              <w:rPr>
                <w:rFonts w:ascii="Arial" w:hAnsi="Arial" w:cs="Arial"/>
                <w:highlight w:val="green"/>
              </w:rPr>
              <w:t>.</w:t>
            </w:r>
            <w:r>
              <w:rPr>
                <w:rFonts w:ascii="Arial" w:hAnsi="Arial" w:cs="Arial"/>
              </w:rPr>
              <w:t xml:space="preserve"> </w:t>
            </w:r>
          </w:p>
          <w:p w14:paraId="7645EFEB" w14:textId="0BF81C38" w:rsidR="00925654" w:rsidRPr="001431A6" w:rsidRDefault="00925654" w:rsidP="00737F09">
            <w:pPr>
              <w:pStyle w:val="ListParagraph"/>
              <w:spacing w:after="240"/>
              <w:ind w:left="701"/>
              <w:jc w:val="both"/>
              <w:rPr>
                <w:rFonts w:ascii="Arial" w:hAnsi="Arial" w:cs="Arial"/>
              </w:rPr>
            </w:pPr>
            <w:r w:rsidRPr="00925654">
              <w:rPr>
                <w:rFonts w:ascii="Arial" w:hAnsi="Arial" w:cs="Arial"/>
                <w:highlight w:val="green"/>
              </w:rPr>
              <w:t>If the entity calculated revenue loss</w:t>
            </w:r>
            <w:r>
              <w:rPr>
                <w:rFonts w:ascii="Arial" w:hAnsi="Arial" w:cs="Arial"/>
                <w:highlight w:val="green"/>
              </w:rPr>
              <w:t xml:space="preserve"> (i.e. did not elect to use the standard allowance)</w:t>
            </w:r>
            <w:r w:rsidRPr="00925654">
              <w:rPr>
                <w:rFonts w:ascii="Arial" w:hAnsi="Arial" w:cs="Arial"/>
                <w:highlight w:val="green"/>
              </w:rPr>
              <w:t xml:space="preserve">, auditors </w:t>
            </w:r>
            <w:r w:rsidRPr="00925654">
              <w:rPr>
                <w:rFonts w:ascii="Arial" w:hAnsi="Arial" w:cs="Arial"/>
                <w:b/>
                <w:bCs/>
                <w:highlight w:val="green"/>
              </w:rPr>
              <w:t>must</w:t>
            </w:r>
            <w:r w:rsidRPr="00925654">
              <w:rPr>
                <w:rFonts w:ascii="Arial" w:hAnsi="Arial" w:cs="Arial"/>
                <w:highlight w:val="green"/>
              </w:rPr>
              <w:t xml:space="preserve"> test the calculation of revenue loss for accuracy and compliance with </w:t>
            </w:r>
            <w:hyperlink r:id="rId38" w:history="1">
              <w:r w:rsidRPr="00925654">
                <w:rPr>
                  <w:rStyle w:val="Hyperlink"/>
                  <w:rFonts w:ascii="Arial" w:hAnsi="Arial" w:cs="Arial"/>
                  <w:highlight w:val="green"/>
                </w:rPr>
                <w:t>Treasury’s guidance</w:t>
              </w:r>
            </w:hyperlink>
            <w:r w:rsidRPr="00925654">
              <w:rPr>
                <w:rFonts w:ascii="Arial" w:hAnsi="Arial" w:cs="Arial"/>
                <w:highlight w:val="green"/>
              </w:rPr>
              <w:t xml:space="preserve"> (see the Final Rule and FAQs). The calculation need only be tested once over the life of the </w:t>
            </w:r>
            <w:proofErr w:type="gramStart"/>
            <w:r w:rsidRPr="00925654">
              <w:rPr>
                <w:rFonts w:ascii="Arial" w:hAnsi="Arial" w:cs="Arial"/>
                <w:highlight w:val="green"/>
              </w:rPr>
              <w:t>program, unless</w:t>
            </w:r>
            <w:proofErr w:type="gramEnd"/>
            <w:r w:rsidRPr="00925654">
              <w:rPr>
                <w:rFonts w:ascii="Arial" w:hAnsi="Arial" w:cs="Arial"/>
                <w:highlight w:val="green"/>
              </w:rPr>
              <w:t xml:space="preserve"> it’s changed/updated by the entity.</w:t>
            </w:r>
            <w:r>
              <w:rPr>
                <w:rFonts w:ascii="Arial" w:hAnsi="Arial" w:cs="Arial"/>
              </w:rPr>
              <w:t xml:space="preserve"> </w:t>
            </w:r>
          </w:p>
          <w:bookmarkStart w:id="29" w:name="_MON_1706597646"/>
          <w:bookmarkEnd w:id="29"/>
          <w:p w14:paraId="1870C768" w14:textId="507105FF" w:rsidR="00C920B4" w:rsidRPr="00F00D94" w:rsidRDefault="00737F09" w:rsidP="00737F09">
            <w:pPr>
              <w:pStyle w:val="APStepItem"/>
              <w:numPr>
                <w:ilvl w:val="0"/>
                <w:numId w:val="0"/>
              </w:numPr>
              <w:tabs>
                <w:tab w:val="num" w:pos="1170"/>
              </w:tabs>
              <w:ind w:left="360" w:hanging="360"/>
              <w:rPr>
                <w:rFonts w:cs="Arial"/>
                <w:b/>
              </w:rPr>
            </w:pPr>
            <w:r>
              <w:rPr>
                <w:rFonts w:cs="Arial"/>
                <w:b/>
              </w:rPr>
              <w:object w:dxaOrig="8429" w:dyaOrig="1479" w14:anchorId="3999888F">
                <v:shape id="_x0000_i1026" type="#_x0000_t75" style="width:420.75pt;height:73.9pt" o:ole="">
                  <v:imagedata r:id="rId39" o:title=""/>
                </v:shape>
                <o:OLEObject Type="Embed" ProgID="Excel.Sheet.12" ShapeID="_x0000_i1026" DrawAspect="Content" ObjectID="_1739254415" r:id="rId40"/>
              </w:object>
            </w:r>
          </w:p>
        </w:tc>
      </w:tr>
    </w:tbl>
    <w:p w14:paraId="2E50C30D" w14:textId="77777777" w:rsidR="001F0603" w:rsidRPr="00F00D94" w:rsidRDefault="001F0603" w:rsidP="001F0603">
      <w:pPr>
        <w:spacing w:after="240"/>
        <w:rPr>
          <w:rFonts w:ascii="Arial" w:hAnsi="Arial" w:cs="Arial"/>
        </w:rPr>
      </w:pPr>
    </w:p>
    <w:p w14:paraId="314F32F6" w14:textId="489C46B1" w:rsidR="00EF51CC" w:rsidRPr="00F00D94" w:rsidRDefault="00EF51CC" w:rsidP="006672EA">
      <w:pPr>
        <w:pStyle w:val="Heading3"/>
        <w:jc w:val="both"/>
        <w:rPr>
          <w:rFonts w:cs="Arial"/>
          <w:b w:val="0"/>
          <w:szCs w:val="24"/>
        </w:rPr>
      </w:pPr>
      <w:bookmarkStart w:id="30" w:name="_Toc115942607"/>
      <w:r w:rsidRPr="00F00D94">
        <w:rPr>
          <w:rFonts w:cs="Arial"/>
        </w:rPr>
        <w:t>Audit Implications Summary</w:t>
      </w:r>
      <w:bookmarkEnd w:id="30"/>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737F09">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737F09">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737F09">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737F09">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737F09">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41"/>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31" w:name="_Toc442267689"/>
      <w:bookmarkStart w:id="32" w:name="_Toc115942608"/>
      <w:r w:rsidRPr="00F00D94">
        <w:rPr>
          <w:rFonts w:cs="Arial"/>
        </w:rPr>
        <w:lastRenderedPageBreak/>
        <w:t>B.  ALLOWABLE COSTS/COST PRINCIPLES</w:t>
      </w:r>
      <w:bookmarkEnd w:id="31"/>
      <w:bookmarkEnd w:id="32"/>
    </w:p>
    <w:p w14:paraId="3D6593B3" w14:textId="0C511B27"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42"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77777777" w:rsidR="000A2F8F" w:rsidRPr="00F00D94" w:rsidRDefault="000A2F8F" w:rsidP="00933AAB">
      <w:pPr>
        <w:spacing w:after="240"/>
        <w:jc w:val="both"/>
        <w:rPr>
          <w:rFonts w:ascii="Arial" w:hAnsi="Arial" w:cs="Arial"/>
          <w:sz w:val="20"/>
        </w:rPr>
      </w:pPr>
      <w:bookmarkStart w:id="33" w:name="B___ALLOWABLE_COSTS_COST_PRINCIPLES"/>
      <w:bookmarkEnd w:id="33"/>
      <w:r w:rsidRPr="00F00D94">
        <w:rPr>
          <w:rFonts w:ascii="Arial" w:hAnsi="Arial" w:cs="Arial"/>
          <w:sz w:val="20"/>
          <w:highlight w:val="yellow"/>
        </w:rPr>
        <w:t xml:space="preserve">All references to sections within 2 CFR Part 200 can be found </w:t>
      </w:r>
      <w:hyperlink r:id="rId43"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34" w:name="_Toc115942609"/>
      <w:r w:rsidRPr="00F00D94">
        <w:rPr>
          <w:rFonts w:cs="Arial"/>
        </w:rPr>
        <w:t>Applicability of Cost Principles</w:t>
      </w:r>
      <w:bookmarkEnd w:id="34"/>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States, local governments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2547B755" w:rsidR="00CE7224" w:rsidRPr="00F00D94" w:rsidRDefault="00CE7224" w:rsidP="006672EA">
      <w:pPr>
        <w:spacing w:after="240"/>
        <w:jc w:val="both"/>
        <w:rPr>
          <w:rFonts w:ascii="Arial" w:hAnsi="Arial" w:cs="Arial"/>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the cost principles requirements apply to all Federal awards with the exception of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44" w:history="1">
        <w:r w:rsidR="00B710C0" w:rsidRPr="00F00D94">
          <w:rPr>
            <w:rStyle w:val="Hyperlink"/>
            <w:rFonts w:ascii="Arial" w:hAnsi="Arial" w:cs="Arial"/>
            <w:sz w:val="20"/>
          </w:rPr>
          <w:t>45 CFR Part 75, Appendix IX</w:t>
        </w:r>
      </w:hyperlink>
      <w:r w:rsidRPr="00F00D94">
        <w:rPr>
          <w:rFonts w:ascii="Arial" w:hAnsi="Arial" w:cs="Arial"/>
          <w:sz w:val="20"/>
        </w:rPr>
        <w:t xml:space="preserve">, the Department of Health and Human Services (HHS)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09AE9514" w14:textId="77777777" w:rsidR="00F00D94" w:rsidRPr="00F00D94" w:rsidRDefault="00F00D94">
      <w:pPr>
        <w:rPr>
          <w:rFonts w:ascii="Arial" w:hAnsi="Arial" w:cs="Arial"/>
          <w:b/>
          <w:sz w:val="20"/>
        </w:rPr>
      </w:pPr>
      <w:r w:rsidRPr="00F00D94">
        <w:rPr>
          <w:rFonts w:ascii="Arial" w:hAnsi="Arial" w:cs="Arial"/>
          <w:b/>
          <w:sz w:val="20"/>
        </w:rPr>
        <w:br w:type="page"/>
      </w:r>
    </w:p>
    <w:p w14:paraId="6808C379" w14:textId="2498818C"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lastRenderedPageBreak/>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77777777" w:rsidR="00FB61AC" w:rsidRPr="00F00D94" w:rsidRDefault="00FB61AC" w:rsidP="00737F09">
      <w:pPr>
        <w:pStyle w:val="ListParagraph"/>
        <w:numPr>
          <w:ilvl w:val="0"/>
          <w:numId w:val="46"/>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74964EF7"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45"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46"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Except where otherwise authorized by statute, cost must meet the following general criteria in order to be allowable under Federal awards;</w:t>
      </w:r>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011C44AB" w:rsidR="00545700" w:rsidRPr="00F00D94" w:rsidRDefault="00EB1C72" w:rsidP="006672EA">
      <w:pPr>
        <w:spacing w:after="240"/>
        <w:jc w:val="both"/>
        <w:rPr>
          <w:rFonts w:ascii="Arial" w:hAnsi="Arial" w:cs="Arial"/>
          <w:sz w:val="20"/>
        </w:rPr>
      </w:pPr>
      <w:hyperlink r:id="rId47" w:history="1">
        <w:r w:rsidR="00545700" w:rsidRPr="00F00D94">
          <w:rPr>
            <w:rStyle w:val="Hyperlink"/>
            <w:rFonts w:ascii="Arial" w:hAnsi="Arial" w:cs="Arial"/>
            <w:sz w:val="20"/>
          </w:rPr>
          <w:t>List of Selected Items of Cost Contained in 2 CFR Part 200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2AE6925B" w14:textId="753F0C0D" w:rsidR="001106BD" w:rsidRPr="001106BD" w:rsidRDefault="001106BD" w:rsidP="00F13178">
      <w:pPr>
        <w:spacing w:after="240"/>
        <w:jc w:val="both"/>
        <w:rPr>
          <w:rFonts w:ascii="Arial" w:hAnsi="Arial" w:cs="Arial"/>
          <w:bCs/>
          <w:sz w:val="20"/>
        </w:rPr>
      </w:pPr>
      <w:r w:rsidRPr="001106BD">
        <w:rPr>
          <w:rFonts w:ascii="Arial" w:hAnsi="Arial" w:cs="Arial"/>
          <w:bCs/>
          <w:sz w:val="20"/>
        </w:rPr>
        <w:t>CSLFRF is considered “other financial assistance” per 2 CFR section 200.1 and is administered as direct payments for specified use. The 2 CFR Part 200, Subpart E is applicable to expenditures under CSLFRF unless stated otherwise.</w:t>
      </w:r>
    </w:p>
    <w:p w14:paraId="6E4ECC18" w14:textId="198C3C55" w:rsidR="001106BD" w:rsidRDefault="001106BD" w:rsidP="00F13178">
      <w:pPr>
        <w:spacing w:after="240"/>
        <w:jc w:val="both"/>
        <w:rPr>
          <w:rFonts w:ascii="Arial" w:hAnsi="Arial" w:cs="Arial"/>
          <w:bCs/>
          <w:i/>
          <w:sz w:val="20"/>
        </w:rPr>
      </w:pPr>
      <w:r>
        <w:rPr>
          <w:rFonts w:ascii="Arial" w:hAnsi="Arial" w:cs="Arial"/>
          <w:bCs/>
          <w:i/>
          <w:sz w:val="20"/>
        </w:rPr>
        <w:t xml:space="preserve">(Source: 2022 OMB Compliance Supplement, Part 4, Treasury, 21.027 Coronavirus State and Local Fiscal Recovery Fund) </w:t>
      </w:r>
    </w:p>
    <w:p w14:paraId="03B8A06B" w14:textId="77777777" w:rsidR="00B328D1" w:rsidRPr="00F00D94"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F00D94">
        <w:rPr>
          <w:rFonts w:ascii="Arial" w:hAnsi="Arial" w:cs="Arial"/>
          <w:b/>
          <w:sz w:val="20"/>
          <w:u w:val="single"/>
        </w:rPr>
        <w:t>Written Procedure Requirements:</w:t>
      </w:r>
    </w:p>
    <w:p w14:paraId="5CEEDC92" w14:textId="47B98803" w:rsidR="00B328D1" w:rsidRPr="00F00D94" w:rsidRDefault="000A2F8F" w:rsidP="00F105A5">
      <w:pPr>
        <w:spacing w:after="240"/>
        <w:jc w:val="both"/>
        <w:rPr>
          <w:rFonts w:ascii="Arial" w:hAnsi="Arial" w:cs="Arial"/>
          <w:sz w:val="20"/>
        </w:rPr>
      </w:pPr>
      <w:r w:rsidRPr="00F00D94">
        <w:rPr>
          <w:rFonts w:ascii="Arial" w:hAnsi="Arial" w:cs="Arial"/>
          <w:sz w:val="20"/>
        </w:rPr>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3A3B604" w:rsidR="00B328D1" w:rsidRPr="00F00D94" w:rsidRDefault="000A2F8F" w:rsidP="00F105A5">
      <w:pPr>
        <w:spacing w:after="240"/>
        <w:jc w:val="both"/>
        <w:rPr>
          <w:rFonts w:ascii="Arial" w:hAnsi="Arial" w:cs="Arial"/>
          <w:sz w:val="20"/>
        </w:rPr>
      </w:pPr>
      <w:r w:rsidRPr="00F00D94">
        <w:rPr>
          <w:rFonts w:ascii="Arial" w:hAnsi="Arial" w:cs="Arial"/>
          <w:sz w:val="20"/>
        </w:rPr>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F00D94" w:rsidRDefault="000A2F8F" w:rsidP="00F105A5">
      <w:pPr>
        <w:spacing w:after="240"/>
        <w:jc w:val="both"/>
        <w:rPr>
          <w:rFonts w:ascii="Arial" w:hAnsi="Arial" w:cs="Arial"/>
          <w:sz w:val="20"/>
        </w:rPr>
      </w:pPr>
      <w:r w:rsidRPr="00F00D94">
        <w:rPr>
          <w:rFonts w:ascii="Arial" w:hAnsi="Arial" w:cs="Arial"/>
          <w:sz w:val="20"/>
        </w:rPr>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F105A5">
      <w:pPr>
        <w:spacing w:after="240"/>
        <w:jc w:val="both"/>
        <w:rPr>
          <w:rFonts w:ascii="Arial" w:hAnsi="Arial" w:cs="Arial"/>
          <w:sz w:val="20"/>
        </w:rPr>
      </w:pPr>
      <w:r w:rsidRPr="00F00D94">
        <w:rPr>
          <w:rFonts w:ascii="Arial" w:hAnsi="Arial" w:cs="Arial"/>
          <w:sz w:val="20"/>
        </w:rPr>
        <w:t>2 CFR 200.464</w:t>
      </w:r>
      <w:r w:rsidR="00B328D1" w:rsidRPr="00F00D94">
        <w:rPr>
          <w:rFonts w:ascii="Arial" w:hAnsi="Arial" w:cs="Arial"/>
          <w:sz w:val="20"/>
        </w:rPr>
        <w:t xml:space="preserve">(a)(2) requires reimbursement of relocation costs to employees be in accordance with an established written policy must be consistently followed by the employer. </w:t>
      </w:r>
    </w:p>
    <w:p w14:paraId="3D808877" w14:textId="3E930A3E" w:rsidR="00B328D1" w:rsidRPr="00F00D94" w:rsidRDefault="000A2F8F" w:rsidP="00F105A5">
      <w:pPr>
        <w:spacing w:after="240"/>
        <w:jc w:val="both"/>
        <w:rPr>
          <w:rFonts w:ascii="Arial" w:hAnsi="Arial" w:cs="Arial"/>
          <w:sz w:val="20"/>
        </w:rPr>
      </w:pPr>
      <w:r w:rsidRPr="00F00D94">
        <w:rPr>
          <w:rFonts w:ascii="Arial" w:hAnsi="Arial" w:cs="Arial"/>
          <w:sz w:val="20"/>
        </w:rPr>
        <w:t>2 CFR 200.475</w:t>
      </w:r>
      <w:r w:rsidR="00B328D1" w:rsidRPr="00F00D94">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F00D94" w:rsidRDefault="00B328D1" w:rsidP="00F13178">
      <w:pPr>
        <w:spacing w:after="240"/>
        <w:jc w:val="both"/>
        <w:rPr>
          <w:rFonts w:ascii="Arial" w:hAnsi="Arial" w:cs="Arial"/>
          <w:sz w:val="20"/>
        </w:rPr>
      </w:pPr>
      <w:r w:rsidRPr="00F00D94">
        <w:rPr>
          <w:rFonts w:ascii="Arial" w:hAnsi="Arial" w:cs="Arial"/>
          <w:i/>
          <w:sz w:val="20"/>
          <w:highlight w:val="green"/>
        </w:rPr>
        <w:t>(Source: CFAE/eCFR)</w:t>
      </w:r>
    </w:p>
    <w:p w14:paraId="29AA1D67" w14:textId="77777777" w:rsidR="007F204B" w:rsidRPr="00F00D94" w:rsidRDefault="007F204B" w:rsidP="00F13178">
      <w:pPr>
        <w:pStyle w:val="Heading3"/>
        <w:spacing w:line="240" w:lineRule="auto"/>
        <w:jc w:val="both"/>
        <w:rPr>
          <w:rFonts w:cs="Arial"/>
        </w:rPr>
      </w:pPr>
      <w:bookmarkStart w:id="35" w:name="_Toc115942610"/>
      <w:r w:rsidRPr="00F00D94">
        <w:rPr>
          <w:rFonts w:cs="Arial"/>
        </w:rPr>
        <w:lastRenderedPageBreak/>
        <w:t>Additional Program Specific Information</w:t>
      </w:r>
      <w:bookmarkEnd w:id="35"/>
    </w:p>
    <w:p w14:paraId="153621CB" w14:textId="4C5FB7A4" w:rsidR="007F204B" w:rsidRDefault="007F204B" w:rsidP="001F0603">
      <w:pP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Allowed Costs/Cost Principles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requirements and place that information with the related suggested audit </w:t>
      </w:r>
      <w:r w:rsidR="001878FB" w:rsidRPr="00F00D94">
        <w:rPr>
          <w:rFonts w:ascii="Arial" w:hAnsi="Arial" w:cs="Arial"/>
          <w:b/>
          <w:sz w:val="20"/>
          <w:highlight w:val="yellow"/>
        </w:rPr>
        <w:t>procedures and</w:t>
      </w:r>
      <w:r w:rsidRPr="00F00D94">
        <w:rPr>
          <w:rFonts w:ascii="Arial" w:hAnsi="Arial" w:cs="Arial"/>
          <w:b/>
          <w:sz w:val="20"/>
          <w:highlight w:val="yellow"/>
        </w:rPr>
        <w:t xml:space="preserve"> delete the yellow highlighted text. </w:t>
      </w:r>
      <w:r w:rsidR="00F105A5" w:rsidRPr="00F00D94">
        <w:rPr>
          <w:rFonts w:ascii="Arial" w:hAnsi="Arial" w:cs="Arial"/>
          <w:b/>
          <w:sz w:val="20"/>
          <w:highlight w:val="yellow"/>
        </w:rPr>
        <w:t xml:space="preserve"> </w:t>
      </w:r>
      <w:r w:rsidRPr="00F00D94">
        <w:rPr>
          <w:rFonts w:ascii="Arial" w:hAnsi="Arial" w:cs="Arial"/>
          <w:b/>
          <w:sz w:val="20"/>
          <w:highlight w:val="yellow"/>
        </w:rPr>
        <w:t xml:space="preserve">Be sure to indicate the source of your information. </w:t>
      </w:r>
      <w:r w:rsidR="00F105A5" w:rsidRPr="00F00D94">
        <w:rPr>
          <w:rFonts w:ascii="Arial" w:hAnsi="Arial" w:cs="Arial"/>
          <w:b/>
          <w:sz w:val="20"/>
          <w:highlight w:val="yellow"/>
        </w:rPr>
        <w:t xml:space="preserve"> </w:t>
      </w:r>
      <w:r w:rsidRPr="00F00D94">
        <w:rPr>
          <w:rFonts w:ascii="Arial" w:hAnsi="Arial" w:cs="Arial"/>
          <w:b/>
          <w:sz w:val="20"/>
          <w:highlight w:val="yellow"/>
        </w:rPr>
        <w:t>If no additional requirements are noted, indicate as such.</w:t>
      </w:r>
    </w:p>
    <w:p w14:paraId="5FB6B13C" w14:textId="77777777" w:rsidR="00B95AD4" w:rsidRDefault="00B95AD4" w:rsidP="00B95AD4">
      <w:pPr>
        <w:spacing w:after="240"/>
        <w:jc w:val="both"/>
        <w:rPr>
          <w:rFonts w:ascii="Arial" w:hAnsi="Arial" w:cs="Arial"/>
          <w:sz w:val="20"/>
        </w:rPr>
      </w:pPr>
      <w:r>
        <w:rPr>
          <w:rFonts w:ascii="Arial" w:hAnsi="Arial" w:cs="Arial"/>
          <w:sz w:val="20"/>
        </w:rPr>
        <w:t>G</w:t>
      </w:r>
      <w:r w:rsidRPr="00F16D53">
        <w:rPr>
          <w:rFonts w:ascii="Arial" w:hAnsi="Arial" w:cs="Arial"/>
          <w:sz w:val="20"/>
        </w:rPr>
        <w:t>iven the purpose and very broad scope of eligible uses of the revenue replacement funds, only a subset of the requirements in Subparts D and E of the Uniform Guidance apply to recipients’ use of such funds. The applicable requirements are listed below. In general, these requirements provide that recipients should not deviate from their established practices and policies regarding the incurrence of costs, and that they should</w:t>
      </w:r>
      <w:r>
        <w:rPr>
          <w:rFonts w:ascii="Arial" w:hAnsi="Arial" w:cs="Arial"/>
          <w:sz w:val="20"/>
        </w:rPr>
        <w:t xml:space="preserve"> </w:t>
      </w:r>
      <w:r w:rsidRPr="00F16D53">
        <w:rPr>
          <w:rFonts w:ascii="Arial" w:hAnsi="Arial" w:cs="Arial"/>
          <w:sz w:val="20"/>
        </w:rPr>
        <w:t>expend and account for the funds in accordance with laws and procedures for expending and accounting</w:t>
      </w:r>
      <w:r>
        <w:rPr>
          <w:rFonts w:ascii="Arial" w:hAnsi="Arial" w:cs="Arial"/>
          <w:sz w:val="20"/>
        </w:rPr>
        <w:t xml:space="preserve"> for the recipient’s own funds.</w:t>
      </w:r>
      <w:r w:rsidRPr="00F16D53">
        <w:rPr>
          <w:rFonts w:ascii="Arial" w:hAnsi="Arial" w:cs="Arial"/>
          <w:sz w:val="20"/>
        </w:rPr>
        <w:t xml:space="preserve"> Recipients’ use of revenue replacement funds remains subject to the other applicable requirements of the SLFRF program, including among other things the deadlines for obligations and expenditures and the application of federal antidiscrimination requirements.</w:t>
      </w:r>
    </w:p>
    <w:p w14:paraId="7EBA399D" w14:textId="77777777" w:rsidR="00B95AD4" w:rsidRPr="00F16D53" w:rsidRDefault="00B95AD4" w:rsidP="00B95AD4">
      <w:pPr>
        <w:spacing w:after="240"/>
        <w:jc w:val="both"/>
        <w:rPr>
          <w:rFonts w:ascii="Arial" w:hAnsi="Arial" w:cs="Arial"/>
          <w:sz w:val="20"/>
          <w:u w:val="single"/>
        </w:rPr>
      </w:pPr>
      <w:r w:rsidRPr="00F16D53">
        <w:rPr>
          <w:rFonts w:ascii="Arial" w:hAnsi="Arial" w:cs="Arial"/>
          <w:sz w:val="20"/>
          <w:u w:val="single"/>
        </w:rPr>
        <w:t xml:space="preserve">Uniform Guidance Subpart D and E Requirements Applicable to Revenue Loss Funds Used for the Provision of Government Services </w:t>
      </w:r>
    </w:p>
    <w:p w14:paraId="49412EAD" w14:textId="77777777" w:rsidR="00B95AD4" w:rsidRPr="00F16D53" w:rsidRDefault="00B95AD4" w:rsidP="00B95AD4">
      <w:pPr>
        <w:spacing w:after="240"/>
        <w:jc w:val="both"/>
        <w:rPr>
          <w:rFonts w:ascii="Arial" w:hAnsi="Arial" w:cs="Arial"/>
          <w:sz w:val="20"/>
          <w:u w:val="single"/>
        </w:rPr>
      </w:pPr>
      <w:r w:rsidRPr="00F16D53">
        <w:rPr>
          <w:rFonts w:ascii="Arial" w:hAnsi="Arial" w:cs="Arial"/>
          <w:sz w:val="20"/>
          <w:u w:val="single"/>
        </w:rPr>
        <w:t>Subpart D Post Federal Award Requirements</w:t>
      </w:r>
    </w:p>
    <w:p w14:paraId="64A87963" w14:textId="77777777" w:rsidR="00B95AD4" w:rsidRDefault="00B95AD4" w:rsidP="00B95AD4">
      <w:pPr>
        <w:pStyle w:val="ListParagraph"/>
        <w:numPr>
          <w:ilvl w:val="0"/>
          <w:numId w:val="46"/>
        </w:numPr>
        <w:jc w:val="both"/>
        <w:rPr>
          <w:rFonts w:ascii="Arial" w:hAnsi="Arial" w:cs="Arial"/>
        </w:rPr>
      </w:pPr>
      <w:r w:rsidRPr="00F16D53">
        <w:rPr>
          <w:rFonts w:ascii="Arial" w:hAnsi="Arial" w:cs="Arial"/>
        </w:rPr>
        <w:t xml:space="preserve">200.300 Statutory and national policy requirements. </w:t>
      </w:r>
    </w:p>
    <w:p w14:paraId="2E45C34D" w14:textId="77777777" w:rsidR="00B95AD4" w:rsidRDefault="00B95AD4" w:rsidP="00B95AD4">
      <w:pPr>
        <w:pStyle w:val="ListParagraph"/>
        <w:numPr>
          <w:ilvl w:val="0"/>
          <w:numId w:val="46"/>
        </w:numPr>
        <w:jc w:val="both"/>
        <w:rPr>
          <w:rFonts w:ascii="Arial" w:hAnsi="Arial" w:cs="Arial"/>
        </w:rPr>
      </w:pPr>
      <w:r w:rsidRPr="00F16D53">
        <w:rPr>
          <w:rFonts w:ascii="Arial" w:hAnsi="Arial" w:cs="Arial"/>
        </w:rPr>
        <w:t xml:space="preserve">200.302 Financial management. </w:t>
      </w:r>
    </w:p>
    <w:p w14:paraId="45622FDF" w14:textId="77777777" w:rsidR="00B95AD4" w:rsidRDefault="00B95AD4" w:rsidP="00B95AD4">
      <w:pPr>
        <w:pStyle w:val="ListParagraph"/>
        <w:numPr>
          <w:ilvl w:val="0"/>
          <w:numId w:val="46"/>
        </w:numPr>
        <w:jc w:val="both"/>
        <w:rPr>
          <w:rFonts w:ascii="Arial" w:hAnsi="Arial" w:cs="Arial"/>
        </w:rPr>
      </w:pPr>
      <w:r w:rsidRPr="00F16D53">
        <w:rPr>
          <w:rFonts w:ascii="Arial" w:hAnsi="Arial" w:cs="Arial"/>
        </w:rPr>
        <w:t xml:space="preserve">200.303 Internal controls. </w:t>
      </w:r>
    </w:p>
    <w:p w14:paraId="62D3621D" w14:textId="77777777" w:rsidR="00B95AD4" w:rsidRDefault="00B95AD4" w:rsidP="00B95AD4">
      <w:pPr>
        <w:pStyle w:val="ListParagraph"/>
        <w:numPr>
          <w:ilvl w:val="0"/>
          <w:numId w:val="46"/>
        </w:numPr>
        <w:jc w:val="both"/>
        <w:rPr>
          <w:rFonts w:ascii="Arial" w:hAnsi="Arial" w:cs="Arial"/>
        </w:rPr>
      </w:pPr>
      <w:r w:rsidRPr="00F16D53">
        <w:rPr>
          <w:rFonts w:ascii="Arial" w:hAnsi="Arial" w:cs="Arial"/>
        </w:rPr>
        <w:t xml:space="preserve">200.328 Financial reporting. </w:t>
      </w:r>
    </w:p>
    <w:p w14:paraId="6267E626" w14:textId="77777777" w:rsidR="00B95AD4" w:rsidRDefault="00B95AD4" w:rsidP="00B95AD4">
      <w:pPr>
        <w:pStyle w:val="ListParagraph"/>
        <w:numPr>
          <w:ilvl w:val="0"/>
          <w:numId w:val="46"/>
        </w:numPr>
        <w:jc w:val="both"/>
        <w:rPr>
          <w:rFonts w:ascii="Arial" w:hAnsi="Arial" w:cs="Arial"/>
        </w:rPr>
      </w:pPr>
      <w:r w:rsidRPr="00F16D53">
        <w:rPr>
          <w:rFonts w:ascii="Arial" w:hAnsi="Arial" w:cs="Arial"/>
        </w:rPr>
        <w:t xml:space="preserve">200.329 Monitoring and reporting program performance. </w:t>
      </w:r>
    </w:p>
    <w:p w14:paraId="46F5240F" w14:textId="77777777" w:rsidR="00B95AD4" w:rsidRDefault="00B95AD4" w:rsidP="00B95AD4">
      <w:pPr>
        <w:pStyle w:val="ListParagraph"/>
        <w:numPr>
          <w:ilvl w:val="0"/>
          <w:numId w:val="46"/>
        </w:numPr>
        <w:jc w:val="both"/>
        <w:rPr>
          <w:rFonts w:ascii="Arial" w:hAnsi="Arial" w:cs="Arial"/>
        </w:rPr>
      </w:pPr>
      <w:r w:rsidRPr="00F16D53">
        <w:rPr>
          <w:rFonts w:ascii="Arial" w:hAnsi="Arial" w:cs="Arial"/>
        </w:rPr>
        <w:t xml:space="preserve">Record Retention and Access (2 C.F.R. 200.334 – 200.338) </w:t>
      </w:r>
    </w:p>
    <w:p w14:paraId="45752EA3" w14:textId="77777777" w:rsidR="00B95AD4" w:rsidRDefault="00B95AD4" w:rsidP="00B95AD4">
      <w:pPr>
        <w:pStyle w:val="ListParagraph"/>
        <w:numPr>
          <w:ilvl w:val="1"/>
          <w:numId w:val="46"/>
        </w:numPr>
        <w:jc w:val="both"/>
        <w:rPr>
          <w:rFonts w:ascii="Arial" w:hAnsi="Arial" w:cs="Arial"/>
        </w:rPr>
      </w:pPr>
      <w:r w:rsidRPr="00F16D53">
        <w:rPr>
          <w:rFonts w:ascii="Arial" w:hAnsi="Arial" w:cs="Arial"/>
        </w:rPr>
        <w:t>200.334 Retention requirements for records.</w:t>
      </w:r>
    </w:p>
    <w:p w14:paraId="3B8AFF3A" w14:textId="77777777" w:rsidR="00B95AD4" w:rsidRDefault="00B95AD4" w:rsidP="00B95AD4">
      <w:pPr>
        <w:pStyle w:val="ListParagraph"/>
        <w:numPr>
          <w:ilvl w:val="1"/>
          <w:numId w:val="46"/>
        </w:numPr>
        <w:jc w:val="both"/>
        <w:rPr>
          <w:rFonts w:ascii="Arial" w:hAnsi="Arial" w:cs="Arial"/>
        </w:rPr>
      </w:pPr>
      <w:r w:rsidRPr="00F16D53">
        <w:rPr>
          <w:rFonts w:ascii="Arial" w:hAnsi="Arial" w:cs="Arial"/>
        </w:rPr>
        <w:t xml:space="preserve">200.335 Requests for transfer of records. </w:t>
      </w:r>
    </w:p>
    <w:p w14:paraId="5E6E3001" w14:textId="77777777" w:rsidR="00B95AD4" w:rsidRDefault="00B95AD4" w:rsidP="00B95AD4">
      <w:pPr>
        <w:pStyle w:val="ListParagraph"/>
        <w:numPr>
          <w:ilvl w:val="1"/>
          <w:numId w:val="46"/>
        </w:numPr>
        <w:jc w:val="both"/>
        <w:rPr>
          <w:rFonts w:ascii="Arial" w:hAnsi="Arial" w:cs="Arial"/>
        </w:rPr>
      </w:pPr>
      <w:r w:rsidRPr="00F16D53">
        <w:rPr>
          <w:rFonts w:ascii="Arial" w:hAnsi="Arial" w:cs="Arial"/>
        </w:rPr>
        <w:t xml:space="preserve">200.336 Methods for collection, transmission, and storage of information. </w:t>
      </w:r>
    </w:p>
    <w:p w14:paraId="443491B2" w14:textId="77777777" w:rsidR="00B95AD4" w:rsidRDefault="00B95AD4" w:rsidP="00B95AD4">
      <w:pPr>
        <w:pStyle w:val="ListParagraph"/>
        <w:numPr>
          <w:ilvl w:val="1"/>
          <w:numId w:val="46"/>
        </w:numPr>
        <w:jc w:val="both"/>
        <w:rPr>
          <w:rFonts w:ascii="Arial" w:hAnsi="Arial" w:cs="Arial"/>
        </w:rPr>
      </w:pPr>
      <w:r w:rsidRPr="00F16D53">
        <w:rPr>
          <w:rFonts w:ascii="Arial" w:hAnsi="Arial" w:cs="Arial"/>
        </w:rPr>
        <w:t xml:space="preserve">200.337 Access to records. </w:t>
      </w:r>
    </w:p>
    <w:p w14:paraId="2FC632C1" w14:textId="77777777" w:rsidR="00B95AD4" w:rsidRPr="00F16D53" w:rsidRDefault="00B95AD4" w:rsidP="00B95AD4">
      <w:pPr>
        <w:pStyle w:val="ListParagraph"/>
        <w:numPr>
          <w:ilvl w:val="1"/>
          <w:numId w:val="46"/>
        </w:numPr>
        <w:jc w:val="both"/>
        <w:rPr>
          <w:rFonts w:ascii="Arial" w:hAnsi="Arial" w:cs="Arial"/>
        </w:rPr>
      </w:pPr>
      <w:r w:rsidRPr="00F16D53">
        <w:rPr>
          <w:rFonts w:ascii="Arial" w:hAnsi="Arial" w:cs="Arial"/>
        </w:rPr>
        <w:t>200.338 Restrictions on public access to records.</w:t>
      </w:r>
      <w:r w:rsidRPr="00F16D53">
        <w:rPr>
          <w:rFonts w:ascii="Arial" w:hAnsi="Arial" w:cs="Arial"/>
          <w:i/>
          <w:highlight w:val="green"/>
        </w:rPr>
        <w:t xml:space="preserve"> </w:t>
      </w:r>
    </w:p>
    <w:p w14:paraId="6195EED4" w14:textId="77777777" w:rsidR="00B95AD4" w:rsidRPr="00F16D53" w:rsidRDefault="00B95AD4" w:rsidP="00B95AD4">
      <w:pPr>
        <w:pStyle w:val="ListParagraph"/>
        <w:numPr>
          <w:ilvl w:val="0"/>
          <w:numId w:val="46"/>
        </w:numPr>
        <w:spacing w:after="240"/>
        <w:jc w:val="both"/>
        <w:rPr>
          <w:rFonts w:ascii="Arial" w:hAnsi="Arial" w:cs="Arial"/>
        </w:rPr>
      </w:pPr>
      <w:r w:rsidRPr="00F16D53">
        <w:rPr>
          <w:rFonts w:ascii="Arial" w:hAnsi="Arial" w:cs="Arial"/>
        </w:rPr>
        <w:t xml:space="preserve">200.346 Collection of amounts due. </w:t>
      </w:r>
    </w:p>
    <w:p w14:paraId="4FF81740" w14:textId="77777777" w:rsidR="00B95AD4" w:rsidRDefault="00B95AD4" w:rsidP="00B95AD4">
      <w:pPr>
        <w:spacing w:after="240"/>
        <w:jc w:val="both"/>
        <w:rPr>
          <w:rFonts w:ascii="Arial" w:hAnsi="Arial" w:cs="Arial"/>
          <w:sz w:val="20"/>
        </w:rPr>
      </w:pPr>
      <w:r w:rsidRPr="00F16D53">
        <w:rPr>
          <w:rFonts w:ascii="Arial" w:hAnsi="Arial" w:cs="Arial"/>
          <w:sz w:val="20"/>
        </w:rPr>
        <w:t>The program income requirements of 2 CFR 200.307 do not apply under revenue loss eligible use category. As such, recipients may maintain program income, which will not be considered an addition to the federal award.</w:t>
      </w:r>
    </w:p>
    <w:p w14:paraId="7BA0E317" w14:textId="77777777" w:rsidR="00B95AD4" w:rsidRPr="00F16D53" w:rsidRDefault="00B95AD4" w:rsidP="00B95AD4">
      <w:pPr>
        <w:spacing w:after="240"/>
        <w:jc w:val="both"/>
        <w:rPr>
          <w:rFonts w:ascii="Arial" w:hAnsi="Arial" w:cs="Arial"/>
          <w:sz w:val="20"/>
        </w:rPr>
      </w:pPr>
      <w:r w:rsidRPr="00F16D53">
        <w:rPr>
          <w:rFonts w:ascii="Arial" w:hAnsi="Arial" w:cs="Arial"/>
          <w:sz w:val="20"/>
        </w:rPr>
        <w:t>Consistent with the Uniform Guidance, if SLFRF is to be used to cover a cost incurred by a recipient, the cost must be one that is allowable. In determining whether a cost is allowable for purposes of funds used under the revenue loss eligible use category, only the following factors and requirements apply:</w:t>
      </w:r>
    </w:p>
    <w:p w14:paraId="6634D853" w14:textId="77777777" w:rsidR="00B95AD4" w:rsidRPr="00F16D53" w:rsidRDefault="00B95AD4" w:rsidP="00B95AD4">
      <w:pPr>
        <w:spacing w:after="240"/>
        <w:jc w:val="both"/>
        <w:rPr>
          <w:rFonts w:ascii="Arial" w:hAnsi="Arial" w:cs="Arial"/>
          <w:sz w:val="20"/>
          <w:u w:val="single"/>
        </w:rPr>
      </w:pPr>
      <w:r w:rsidRPr="00F16D53">
        <w:rPr>
          <w:rFonts w:ascii="Arial" w:hAnsi="Arial" w:cs="Arial"/>
          <w:sz w:val="20"/>
          <w:u w:val="single"/>
        </w:rPr>
        <w:t>Subpart E – Cost Principles</w:t>
      </w:r>
    </w:p>
    <w:p w14:paraId="145BC272" w14:textId="77777777" w:rsidR="00B95AD4" w:rsidRDefault="00B95AD4" w:rsidP="00B95AD4">
      <w:pPr>
        <w:pStyle w:val="ListParagraph"/>
        <w:numPr>
          <w:ilvl w:val="0"/>
          <w:numId w:val="66"/>
        </w:numPr>
        <w:jc w:val="both"/>
        <w:rPr>
          <w:rFonts w:ascii="Arial" w:hAnsi="Arial" w:cs="Arial"/>
        </w:rPr>
      </w:pPr>
      <w:r w:rsidRPr="00F16D53">
        <w:rPr>
          <w:rFonts w:ascii="Arial" w:hAnsi="Arial" w:cs="Arial"/>
        </w:rPr>
        <w:t xml:space="preserve">200.400(a) - (c), and (e) Policy guide. </w:t>
      </w:r>
    </w:p>
    <w:p w14:paraId="1F3F3E2C" w14:textId="77777777" w:rsidR="00B95AD4" w:rsidRDefault="00B95AD4" w:rsidP="00B95AD4">
      <w:pPr>
        <w:pStyle w:val="ListParagraph"/>
        <w:numPr>
          <w:ilvl w:val="0"/>
          <w:numId w:val="66"/>
        </w:numPr>
        <w:jc w:val="both"/>
        <w:rPr>
          <w:rFonts w:ascii="Arial" w:hAnsi="Arial" w:cs="Arial"/>
        </w:rPr>
      </w:pPr>
      <w:r w:rsidRPr="00F16D53">
        <w:rPr>
          <w:rFonts w:ascii="Arial" w:hAnsi="Arial" w:cs="Arial"/>
        </w:rPr>
        <w:t xml:space="preserve">200.403(a), (c), (d), (g), and (h) Factors affecting allowability of costs. </w:t>
      </w:r>
    </w:p>
    <w:p w14:paraId="5840DEA5" w14:textId="77777777" w:rsidR="00B95AD4" w:rsidRPr="00F16D53" w:rsidRDefault="00B95AD4" w:rsidP="00B95AD4">
      <w:pPr>
        <w:pStyle w:val="ListParagraph"/>
        <w:numPr>
          <w:ilvl w:val="0"/>
          <w:numId w:val="66"/>
        </w:numPr>
        <w:spacing w:after="240"/>
        <w:jc w:val="both"/>
        <w:rPr>
          <w:rFonts w:ascii="Arial" w:hAnsi="Arial" w:cs="Arial"/>
        </w:rPr>
      </w:pPr>
      <w:r w:rsidRPr="00F16D53">
        <w:rPr>
          <w:rFonts w:ascii="Arial" w:hAnsi="Arial" w:cs="Arial"/>
        </w:rPr>
        <w:t>200.404(e) Reasonable costs.</w:t>
      </w:r>
    </w:p>
    <w:p w14:paraId="604CFA76" w14:textId="0F14E220" w:rsidR="00B95AD4" w:rsidRPr="00F00D94" w:rsidRDefault="00B95AD4" w:rsidP="001F0603">
      <w:pPr>
        <w:spacing w:after="240"/>
        <w:jc w:val="both"/>
        <w:rPr>
          <w:rFonts w:ascii="Arial" w:hAnsi="Arial" w:cs="Arial"/>
          <w:sz w:val="20"/>
        </w:rPr>
      </w:pPr>
      <w:r w:rsidRPr="003B1E98">
        <w:rPr>
          <w:rFonts w:ascii="Arial" w:hAnsi="Arial" w:cs="Arial"/>
          <w:i/>
          <w:sz w:val="20"/>
        </w:rPr>
        <w:t xml:space="preserve">(Source:  </w:t>
      </w:r>
      <w:r w:rsidRPr="003B1E98">
        <w:rPr>
          <w:rFonts w:ascii="Arial" w:hAnsi="Arial" w:cs="Arial"/>
          <w:i/>
          <w:sz w:val="20"/>
          <w:highlight w:val="green"/>
        </w:rPr>
        <w:t>CFAE</w:t>
      </w:r>
      <w:r>
        <w:rPr>
          <w:rFonts w:ascii="Arial" w:hAnsi="Arial" w:cs="Arial"/>
          <w:i/>
          <w:sz w:val="20"/>
        </w:rPr>
        <w:t xml:space="preserve"> and </w:t>
      </w:r>
      <w:hyperlink r:id="rId48" w:history="1">
        <w:r w:rsidRPr="003B1E98">
          <w:rPr>
            <w:rStyle w:val="Hyperlink"/>
            <w:rFonts w:ascii="Arial" w:hAnsi="Arial" w:cs="Arial"/>
            <w:i/>
            <w:sz w:val="20"/>
          </w:rPr>
          <w:t>SLFRF Final Rule FAQs</w:t>
        </w:r>
      </w:hyperlink>
      <w:r w:rsidRPr="003B1E98">
        <w:rPr>
          <w:rFonts w:ascii="Arial" w:hAnsi="Arial" w:cs="Arial"/>
          <w:i/>
          <w:sz w:val="20"/>
        </w:rPr>
        <w:t>)</w:t>
      </w:r>
    </w:p>
    <w:p w14:paraId="1F3BF11A" w14:textId="77777777" w:rsidR="00CE7224" w:rsidRPr="00F00D94" w:rsidRDefault="00CE7224" w:rsidP="006672EA">
      <w:pPr>
        <w:pStyle w:val="Heading3"/>
        <w:jc w:val="both"/>
        <w:rPr>
          <w:rFonts w:cs="Arial"/>
          <w:b w:val="0"/>
        </w:rPr>
      </w:pPr>
      <w:bookmarkStart w:id="36" w:name="_Toc115942611"/>
      <w:r w:rsidRPr="00F00D94">
        <w:rPr>
          <w:rFonts w:cs="Arial"/>
        </w:rPr>
        <w:lastRenderedPageBreak/>
        <w:t>Indirect Cost Rate</w:t>
      </w:r>
      <w:bookmarkEnd w:id="36"/>
    </w:p>
    <w:p w14:paraId="599D3EF2" w14:textId="1633A7B8"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F00D94">
        <w:rPr>
          <w:rFonts w:ascii="Arial" w:hAnsi="Arial" w:cs="Arial"/>
          <w:sz w:val="20"/>
        </w:rPr>
        <w:t>Effective on November 12, 2020, any non-federal entity can use the de minimus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direct, but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the terms and conditions of the award. </w:t>
      </w:r>
      <w:r w:rsidR="00A442CC" w:rsidRPr="00F00D94">
        <w:rPr>
          <w:rFonts w:ascii="Arial" w:hAnsi="Arial" w:cs="Arial"/>
          <w:sz w:val="20"/>
        </w:rPr>
        <w:t xml:space="preserve">A non-federal entity can always choose to charge the federal award less than the negotiated rates or the de minimis rate. </w:t>
      </w:r>
    </w:p>
    <w:p w14:paraId="0084B537" w14:textId="56B609D2"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77777777" w:rsidR="00CE7224" w:rsidRPr="00F00D94" w:rsidRDefault="00A71AD9" w:rsidP="006672EA">
      <w:pPr>
        <w:pStyle w:val="Heading4"/>
        <w:jc w:val="both"/>
        <w:rPr>
          <w:rFonts w:ascii="Arial" w:hAnsi="Arial" w:cs="Arial"/>
        </w:rPr>
      </w:pPr>
      <w:r w:rsidRPr="00F00D94">
        <w:rPr>
          <w:rFonts w:ascii="Arial" w:hAnsi="Arial" w:cs="Arial"/>
        </w:rPr>
        <w:t xml:space="preserve">Audit Objectives (Deminimis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77777777" w:rsidR="00B85001" w:rsidRPr="00F00D94" w:rsidRDefault="00EB1C72" w:rsidP="00737F09">
      <w:pPr>
        <w:pStyle w:val="BodyText"/>
        <w:widowControl w:val="0"/>
        <w:numPr>
          <w:ilvl w:val="0"/>
          <w:numId w:val="50"/>
        </w:numPr>
        <w:autoSpaceDE w:val="0"/>
        <w:autoSpaceDN w:val="0"/>
        <w:spacing w:after="0"/>
        <w:jc w:val="both"/>
        <w:rPr>
          <w:rFonts w:ascii="Arial" w:hAnsi="Arial" w:cs="Arial"/>
          <w:sz w:val="20"/>
          <w:szCs w:val="20"/>
        </w:rPr>
      </w:pPr>
      <w:hyperlink r:id="rId49"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51A842F2" w14:textId="77777777" w:rsidR="00B85001" w:rsidRPr="00F00D94" w:rsidRDefault="00EB1C72" w:rsidP="00737F09">
      <w:pPr>
        <w:pStyle w:val="BodyText"/>
        <w:widowControl w:val="0"/>
        <w:numPr>
          <w:ilvl w:val="0"/>
          <w:numId w:val="50"/>
        </w:numPr>
        <w:autoSpaceDE w:val="0"/>
        <w:autoSpaceDN w:val="0"/>
        <w:spacing w:after="0"/>
        <w:jc w:val="both"/>
        <w:rPr>
          <w:rFonts w:ascii="Arial" w:hAnsi="Arial" w:cs="Arial"/>
          <w:sz w:val="20"/>
          <w:szCs w:val="20"/>
        </w:rPr>
      </w:pPr>
      <w:hyperlink r:id="rId50" w:history="1">
        <w:r w:rsidR="00B85001" w:rsidRPr="00F00D94">
          <w:rPr>
            <w:rStyle w:val="Hyperlink"/>
            <w:rFonts w:ascii="Arial" w:hAnsi="Arial" w:cs="Arial"/>
            <w:sz w:val="20"/>
            <w:szCs w:val="20"/>
          </w:rPr>
          <w:t>2013 COSO</w:t>
        </w:r>
      </w:hyperlink>
    </w:p>
    <w:p w14:paraId="3F1D20BF" w14:textId="77777777" w:rsidR="00B85001" w:rsidRPr="00F00D94" w:rsidRDefault="00EB1C72" w:rsidP="00737F09">
      <w:pPr>
        <w:pStyle w:val="BodyText"/>
        <w:widowControl w:val="0"/>
        <w:numPr>
          <w:ilvl w:val="0"/>
          <w:numId w:val="50"/>
        </w:numPr>
        <w:autoSpaceDE w:val="0"/>
        <w:autoSpaceDN w:val="0"/>
        <w:rPr>
          <w:rStyle w:val="Hyperlink"/>
          <w:rFonts w:ascii="Arial" w:hAnsi="Arial" w:cs="Arial"/>
          <w:color w:val="auto"/>
          <w:sz w:val="20"/>
          <w:szCs w:val="20"/>
          <w:u w:val="none"/>
        </w:rPr>
      </w:pPr>
      <w:hyperlink r:id="rId51" w:history="1">
        <w:r w:rsidR="00B85001" w:rsidRPr="00F00D94">
          <w:rPr>
            <w:rStyle w:val="Hyperlink"/>
            <w:rFonts w:ascii="Arial" w:hAnsi="Arial" w:cs="Arial"/>
            <w:sz w:val="20"/>
            <w:szCs w:val="20"/>
          </w:rPr>
          <w:t>GAO’s 2014 Green Book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A8CB97" w14:textId="77777777" w:rsidR="00B85001" w:rsidRPr="00F00D94" w:rsidRDefault="00B85001" w:rsidP="00737F09">
      <w:pPr>
        <w:pStyle w:val="ListParagraph"/>
        <w:widowControl w:val="0"/>
        <w:numPr>
          <w:ilvl w:val="0"/>
          <w:numId w:val="51"/>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36970F23" w14:textId="77777777"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737F09">
      <w:pPr>
        <w:pStyle w:val="ListParagraph"/>
        <w:widowControl w:val="0"/>
        <w:numPr>
          <w:ilvl w:val="0"/>
          <w:numId w:val="51"/>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Determine that the de minimis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737F09">
      <w:pPr>
        <w:pStyle w:val="ListParagraph"/>
        <w:widowControl w:val="0"/>
        <w:numPr>
          <w:ilvl w:val="0"/>
          <w:numId w:val="51"/>
        </w:numPr>
        <w:suppressAutoHyphens w:val="0"/>
        <w:adjustRightInd/>
        <w:spacing w:after="240"/>
        <w:ind w:left="360" w:hanging="360"/>
        <w:jc w:val="both"/>
        <w:rPr>
          <w:rFonts w:ascii="Arial" w:hAnsi="Arial" w:cs="Arial"/>
        </w:rPr>
      </w:pPr>
      <w:r w:rsidRPr="00F00D94">
        <w:rPr>
          <w:rFonts w:ascii="Arial" w:hAnsi="Arial" w:cs="Arial"/>
        </w:rPr>
        <w:t>Determine that the de minimis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77777777"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7056DFEA" w14:textId="77777777" w:rsidR="00CE273F" w:rsidRPr="00F00D94" w:rsidRDefault="00CE273F" w:rsidP="001F0603">
      <w:pPr>
        <w:spacing w:after="240"/>
        <w:rPr>
          <w:rFonts w:ascii="Arial" w:hAnsi="Arial" w:cs="Arial"/>
        </w:rPr>
      </w:pPr>
    </w:p>
    <w:p w14:paraId="55DACE16" w14:textId="77777777" w:rsidR="00CE7224" w:rsidRPr="00F00D94" w:rsidRDefault="00CE7224" w:rsidP="001F0603">
      <w:pPr>
        <w:pStyle w:val="Heading4"/>
        <w:jc w:val="left"/>
        <w:rPr>
          <w:rFonts w:ascii="Arial" w:hAnsi="Arial" w:cs="Arial"/>
        </w:rPr>
      </w:pPr>
      <w:r w:rsidRPr="00F00D94">
        <w:rPr>
          <w:rFonts w:ascii="Arial" w:hAnsi="Arial" w:cs="Arial"/>
        </w:rPr>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minimis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F00D94" w:rsidRDefault="00CE7224" w:rsidP="006672EA">
      <w:pPr>
        <w:spacing w:after="240"/>
        <w:ind w:left="720" w:hanging="720"/>
        <w:jc w:val="both"/>
        <w:rPr>
          <w:rFonts w:ascii="Arial" w:hAnsi="Arial" w:cs="Arial"/>
          <w:iCs/>
        </w:rPr>
      </w:pPr>
    </w:p>
    <w:p w14:paraId="14948897" w14:textId="77777777" w:rsidR="00CE7224" w:rsidRPr="00F00D94" w:rsidRDefault="00CE7224" w:rsidP="006672EA">
      <w:pPr>
        <w:spacing w:after="240"/>
        <w:jc w:val="both"/>
        <w:rPr>
          <w:rFonts w:ascii="Arial" w:hAnsi="Arial" w:cs="Arial"/>
          <w:b/>
        </w:rPr>
      </w:pPr>
      <w:r w:rsidRPr="00F00D94">
        <w:rPr>
          <w:rFonts w:ascii="Arial" w:hAnsi="Arial" w:cs="Arial"/>
          <w:b/>
          <w:bCs/>
        </w:rPr>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37" w:name="_Toc115942612"/>
      <w:r w:rsidRPr="00F00D94">
        <w:rPr>
          <w:rFonts w:cs="Arial"/>
        </w:rPr>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Local Governments</w:t>
      </w:r>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37"/>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w:t>
      </w:r>
      <w:r w:rsidR="00CE7224" w:rsidRPr="00F00D94">
        <w:rPr>
          <w:rFonts w:ascii="Arial" w:hAnsi="Arial" w:cs="Arial"/>
          <w:sz w:val="20"/>
        </w:rPr>
        <w:lastRenderedPageBreak/>
        <w:t>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(DOI) is cognizant for all Indian tribal governments, territorial governments, and State and local park and recreational districts.  </w:t>
      </w:r>
    </w:p>
    <w:p w14:paraId="7EDA0CC5" w14:textId="3ADF2590" w:rsidR="003F3B58" w:rsidRPr="00F00D94" w:rsidRDefault="006230CF" w:rsidP="006672EA">
      <w:pPr>
        <w:spacing w:after="240"/>
        <w:jc w:val="both"/>
        <w:rPr>
          <w:rFonts w:ascii="Arial" w:hAnsi="Arial" w:cs="Arial"/>
          <w:szCs w:val="24"/>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77777777" w:rsidR="006154DF" w:rsidRPr="00F00D94" w:rsidRDefault="006154DF" w:rsidP="006672EA">
      <w:pPr>
        <w:pStyle w:val="Heading4"/>
        <w:jc w:val="both"/>
        <w:rPr>
          <w:rFonts w:ascii="Arial" w:hAnsi="Arial" w:cs="Arial"/>
          <w:bCs w:val="0"/>
        </w:rPr>
      </w:pPr>
      <w:r w:rsidRPr="00F00D94">
        <w:rPr>
          <w:rFonts w:ascii="Arial" w:hAnsi="Arial" w:cs="Arial"/>
        </w:rPr>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1C749DD1" w14:textId="77777777" w:rsidR="00B85001" w:rsidRPr="00F00D94" w:rsidRDefault="00EB1C72" w:rsidP="00737F09">
      <w:pPr>
        <w:pStyle w:val="BodyText"/>
        <w:widowControl w:val="0"/>
        <w:numPr>
          <w:ilvl w:val="0"/>
          <w:numId w:val="50"/>
        </w:numPr>
        <w:autoSpaceDE w:val="0"/>
        <w:autoSpaceDN w:val="0"/>
        <w:spacing w:after="0"/>
        <w:rPr>
          <w:rFonts w:ascii="Arial" w:hAnsi="Arial" w:cs="Arial"/>
          <w:sz w:val="20"/>
          <w:szCs w:val="20"/>
        </w:rPr>
      </w:pPr>
      <w:hyperlink r:id="rId52"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40D724A8" w14:textId="77777777" w:rsidR="00B85001" w:rsidRPr="00F00D94" w:rsidRDefault="00EB1C72" w:rsidP="00737F09">
      <w:pPr>
        <w:pStyle w:val="BodyText"/>
        <w:widowControl w:val="0"/>
        <w:numPr>
          <w:ilvl w:val="0"/>
          <w:numId w:val="50"/>
        </w:numPr>
        <w:autoSpaceDE w:val="0"/>
        <w:autoSpaceDN w:val="0"/>
        <w:spacing w:after="0"/>
        <w:rPr>
          <w:rFonts w:ascii="Arial" w:hAnsi="Arial" w:cs="Arial"/>
          <w:sz w:val="20"/>
          <w:szCs w:val="20"/>
        </w:rPr>
      </w:pPr>
      <w:hyperlink r:id="rId53" w:history="1">
        <w:r w:rsidR="00B85001" w:rsidRPr="00F00D94">
          <w:rPr>
            <w:rStyle w:val="Hyperlink"/>
            <w:rFonts w:ascii="Arial" w:hAnsi="Arial" w:cs="Arial"/>
            <w:sz w:val="20"/>
            <w:szCs w:val="20"/>
          </w:rPr>
          <w:t>2013 COSO</w:t>
        </w:r>
      </w:hyperlink>
    </w:p>
    <w:p w14:paraId="18A610AF" w14:textId="77777777" w:rsidR="00B85001" w:rsidRPr="00F00D94" w:rsidRDefault="00EB1C72" w:rsidP="00737F09">
      <w:pPr>
        <w:pStyle w:val="BodyText"/>
        <w:widowControl w:val="0"/>
        <w:numPr>
          <w:ilvl w:val="0"/>
          <w:numId w:val="50"/>
        </w:numPr>
        <w:autoSpaceDE w:val="0"/>
        <w:autoSpaceDN w:val="0"/>
        <w:rPr>
          <w:rStyle w:val="Hyperlink"/>
          <w:rFonts w:ascii="Arial" w:hAnsi="Arial" w:cs="Arial"/>
          <w:color w:val="auto"/>
          <w:sz w:val="20"/>
          <w:szCs w:val="20"/>
          <w:u w:val="none"/>
        </w:rPr>
      </w:pPr>
      <w:hyperlink r:id="rId54" w:history="1">
        <w:r w:rsidR="00B85001" w:rsidRPr="00F00D94">
          <w:rPr>
            <w:rStyle w:val="Hyperlink"/>
            <w:rFonts w:ascii="Arial" w:hAnsi="Arial" w:cs="Arial"/>
            <w:sz w:val="20"/>
            <w:szCs w:val="20"/>
          </w:rPr>
          <w:t>GAO’s 2014 Green Book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lastRenderedPageBreak/>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Consider the results of the testing of internal control in assessing the remaining risk of noncompliance. Use this as the basis for determining the nature, timing, and extent (e.g., number of transactions to be 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737F09">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737F09">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737F09">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737F09">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737F09">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737F09">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737F09">
      <w:pPr>
        <w:pStyle w:val="ListParagraph"/>
        <w:numPr>
          <w:ilvl w:val="0"/>
          <w:numId w:val="45"/>
        </w:numPr>
        <w:spacing w:after="240"/>
        <w:jc w:val="both"/>
        <w:rPr>
          <w:rStyle w:val="Hyperlink"/>
          <w:rFonts w:ascii="Arial" w:hAnsi="Arial" w:cs="Arial"/>
          <w:color w:val="auto"/>
          <w:sz w:val="24"/>
          <w:u w:val="none"/>
        </w:rPr>
      </w:pPr>
      <w:r w:rsidRPr="00F00D94">
        <w:rPr>
          <w:rStyle w:val="Hyperlink"/>
          <w:rFonts w:ascii="Arial" w:hAnsi="Arial" w:cs="Arial"/>
          <w:color w:val="auto"/>
          <w:u w:val="none"/>
        </w:rPr>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 xml:space="preserve">(b)(7),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737F09">
      <w:pPr>
        <w:pStyle w:val="AuditProcedureHeading"/>
        <w:numPr>
          <w:ilvl w:val="0"/>
          <w:numId w:val="45"/>
        </w:numPr>
        <w:spacing w:after="240"/>
        <w:jc w:val="both"/>
        <w:rPr>
          <w:rFonts w:cs="Arial"/>
          <w:bCs/>
          <w:szCs w:val="20"/>
        </w:rPr>
      </w:pPr>
      <w:r w:rsidRPr="00F00D94">
        <w:rPr>
          <w:rFonts w:cs="Arial"/>
          <w:bCs/>
          <w:szCs w:val="20"/>
        </w:rPr>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737F09">
      <w:pPr>
        <w:pStyle w:val="AuditProcedureHeading"/>
        <w:numPr>
          <w:ilvl w:val="1"/>
          <w:numId w:val="45"/>
        </w:numPr>
        <w:spacing w:after="240"/>
        <w:jc w:val="both"/>
        <w:rPr>
          <w:rFonts w:cs="Arial"/>
          <w:bCs/>
          <w:szCs w:val="20"/>
        </w:rPr>
      </w:pPr>
      <w:r w:rsidRPr="00F00D94">
        <w:rPr>
          <w:rFonts w:cs="Arial"/>
          <w:bCs/>
          <w:szCs w:val="20"/>
        </w:rPr>
        <w:t xml:space="preserve">2 CFR 200.302(b)(7)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737F09">
      <w:pPr>
        <w:pStyle w:val="AuditProcedureHeading"/>
        <w:numPr>
          <w:ilvl w:val="1"/>
          <w:numId w:val="45"/>
        </w:numPr>
        <w:spacing w:after="240"/>
        <w:jc w:val="both"/>
        <w:rPr>
          <w:rFonts w:cs="Arial"/>
          <w:bCs/>
          <w:szCs w:val="20"/>
        </w:rPr>
      </w:pPr>
      <w:r w:rsidRPr="00F00D94">
        <w:rPr>
          <w:rFonts w:cs="Arial"/>
          <w:bCs/>
          <w:szCs w:val="20"/>
        </w:rPr>
        <w:t xml:space="preserve">2 CFR 200.430 </w:t>
      </w:r>
      <w:r w:rsidRPr="00F00D94">
        <w:rPr>
          <w:rFonts w:cs="Arial"/>
          <w:szCs w:val="20"/>
        </w:rPr>
        <w:t xml:space="preserve">for allowability of compensation costs. </w:t>
      </w:r>
    </w:p>
    <w:p w14:paraId="53143CE1" w14:textId="77777777" w:rsidR="009138DB" w:rsidRPr="00F00D94" w:rsidRDefault="009138DB" w:rsidP="00737F09">
      <w:pPr>
        <w:pStyle w:val="AuditProcedureHeading"/>
        <w:numPr>
          <w:ilvl w:val="1"/>
          <w:numId w:val="45"/>
        </w:numPr>
        <w:spacing w:after="240"/>
        <w:jc w:val="both"/>
        <w:rPr>
          <w:rFonts w:cs="Arial"/>
          <w:bCs/>
          <w:szCs w:val="20"/>
        </w:rPr>
      </w:pPr>
      <w:r w:rsidRPr="00F00D94">
        <w:rPr>
          <w:rFonts w:cs="Arial"/>
          <w:bCs/>
          <w:szCs w:val="20"/>
        </w:rPr>
        <w:t xml:space="preserve">2 CFR 200.431 </w:t>
      </w:r>
      <w:r w:rsidRPr="00F00D94">
        <w:rPr>
          <w:rFonts w:cs="Arial"/>
          <w:szCs w:val="20"/>
        </w:rPr>
        <w:t xml:space="preserve">for written leave policies. </w:t>
      </w:r>
    </w:p>
    <w:p w14:paraId="4A705975" w14:textId="77777777" w:rsidR="009138DB" w:rsidRPr="00F00D94" w:rsidRDefault="009138DB" w:rsidP="00737F09">
      <w:pPr>
        <w:pStyle w:val="AuditProcedureHeading"/>
        <w:numPr>
          <w:ilvl w:val="1"/>
          <w:numId w:val="45"/>
        </w:numPr>
        <w:spacing w:after="240"/>
        <w:jc w:val="both"/>
        <w:rPr>
          <w:rFonts w:cs="Arial"/>
          <w:bCs/>
          <w:szCs w:val="20"/>
        </w:rPr>
      </w:pPr>
      <w:r w:rsidRPr="00F00D94">
        <w:rPr>
          <w:rFonts w:cs="Arial"/>
          <w:bCs/>
          <w:szCs w:val="20"/>
        </w:rPr>
        <w:t xml:space="preserve">2 CFR 200.464(a)(2) </w:t>
      </w:r>
      <w:r w:rsidRPr="00F00D94">
        <w:rPr>
          <w:rFonts w:cs="Arial"/>
          <w:szCs w:val="20"/>
        </w:rPr>
        <w:t xml:space="preserve">for reimbursement of relocation costs. </w:t>
      </w:r>
    </w:p>
    <w:p w14:paraId="5324AF8D" w14:textId="72842CA5" w:rsidR="009138DB" w:rsidRPr="00F00D94" w:rsidRDefault="009138DB" w:rsidP="00737F09">
      <w:pPr>
        <w:pStyle w:val="AuditProcedureHeading"/>
        <w:numPr>
          <w:ilvl w:val="1"/>
          <w:numId w:val="45"/>
        </w:numPr>
        <w:spacing w:after="240"/>
        <w:jc w:val="both"/>
        <w:rPr>
          <w:rFonts w:cs="Arial"/>
          <w:bCs/>
          <w:szCs w:val="20"/>
        </w:rPr>
      </w:pPr>
      <w:r w:rsidRPr="00F00D94">
        <w:rPr>
          <w:rFonts w:cs="Arial"/>
          <w:bCs/>
          <w:szCs w:val="20"/>
        </w:rPr>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737F09">
      <w:pPr>
        <w:pStyle w:val="AuditProcedureHeading"/>
        <w:numPr>
          <w:ilvl w:val="0"/>
          <w:numId w:val="45"/>
        </w:numPr>
        <w:spacing w:after="240"/>
        <w:jc w:val="both"/>
        <w:rPr>
          <w:rFonts w:cs="Arial"/>
          <w:bCs/>
          <w:szCs w:val="20"/>
        </w:rPr>
      </w:pPr>
      <w:r w:rsidRPr="00F00D94">
        <w:rPr>
          <w:rFonts w:cs="Arial"/>
          <w:szCs w:val="20"/>
        </w:rPr>
        <w:lastRenderedPageBreak/>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737F09">
      <w:pPr>
        <w:pStyle w:val="AuditProcedureHeading"/>
        <w:numPr>
          <w:ilvl w:val="1"/>
          <w:numId w:val="45"/>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737F09">
      <w:pPr>
        <w:pStyle w:val="AuditProcedureHeading"/>
        <w:numPr>
          <w:ilvl w:val="1"/>
          <w:numId w:val="45"/>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737F09">
      <w:pPr>
        <w:pStyle w:val="ListParagraph"/>
        <w:numPr>
          <w:ilvl w:val="2"/>
          <w:numId w:val="45"/>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7777777" w:rsidR="00CE7224" w:rsidRPr="00F00D94" w:rsidRDefault="00CE7224" w:rsidP="006672EA">
      <w:pPr>
        <w:pStyle w:val="Heading4"/>
        <w:jc w:val="both"/>
        <w:rPr>
          <w:rFonts w:ascii="Arial" w:hAnsi="Arial" w:cs="Arial"/>
        </w:rPr>
      </w:pPr>
      <w:r w:rsidRPr="00F00D94">
        <w:rPr>
          <w:rFonts w:ascii="Arial" w:hAnsi="Arial" w:cs="Arial"/>
        </w:rPr>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77777777" w:rsidR="001E4E2E" w:rsidRPr="00F00D94"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rPr>
            </w:pPr>
            <w:r w:rsidRPr="00F00D94">
              <w:rPr>
                <w:rFonts w:ascii="Arial" w:hAnsi="Arial" w:cs="Arial"/>
              </w:rPr>
              <w:lastRenderedPageBreak/>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F00D94" w:rsidRDefault="001E4E2E" w:rsidP="00B85001">
            <w:pPr>
              <w:numPr>
                <w:ilvl w:val="0"/>
                <w:numId w:val="26"/>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r w:rsidR="00206C18" w:rsidRPr="00F00D94">
              <w:rPr>
                <w:rFonts w:ascii="Arial" w:hAnsi="Arial" w:cs="Arial"/>
                <w:sz w:val="20"/>
              </w:rPr>
              <w:t>Exhibit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F00D94">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390873EE"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1 </w:t>
            </w:r>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4544D8D"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55" w:history="1">
              <w:r w:rsidR="00624DA1" w:rsidRPr="00F00D94">
                <w:rPr>
                  <w:rStyle w:val="Hyperlink"/>
                  <w:rFonts w:ascii="Arial" w:hAnsi="Arial"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lastRenderedPageBreak/>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4194FD95" w14:textId="77777777" w:rsidR="00CE7224" w:rsidRPr="00F00D94" w:rsidRDefault="00CE7224" w:rsidP="006672EA">
      <w:pPr>
        <w:pStyle w:val="Heading3"/>
        <w:jc w:val="both"/>
        <w:rPr>
          <w:rFonts w:cs="Arial"/>
          <w:b w:val="0"/>
        </w:rPr>
      </w:pPr>
      <w:bookmarkStart w:id="38" w:name="_Toc115942613"/>
      <w:r w:rsidRPr="00F00D94">
        <w:rPr>
          <w:rFonts w:cs="Arial"/>
        </w:rPr>
        <w:t>Allowable Costs – State/Local Government-wide Central Service Costs</w:t>
      </w:r>
      <w:bookmarkEnd w:id="38"/>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8EDCE95" w14:textId="08884B97" w:rsidR="00DE710F" w:rsidRPr="00F00D94" w:rsidRDefault="006230CF" w:rsidP="006672EA">
      <w:pPr>
        <w:spacing w:after="240"/>
        <w:jc w:val="both"/>
        <w:rPr>
          <w:rFonts w:ascii="Arial" w:hAnsi="Arial" w:cs="Arial"/>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77777777" w:rsidR="00DE710F" w:rsidRPr="00F00D94" w:rsidRDefault="00DE710F" w:rsidP="006672EA">
      <w:pPr>
        <w:pStyle w:val="Heading4"/>
        <w:jc w:val="both"/>
        <w:rPr>
          <w:rFonts w:ascii="Arial" w:hAnsi="Arial" w:cs="Arial"/>
        </w:rPr>
      </w:pPr>
      <w:r w:rsidRPr="00F00D94">
        <w:rPr>
          <w:rFonts w:ascii="Arial" w:hAnsi="Arial" w:cs="Arial"/>
        </w:rPr>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77777777" w:rsidR="00775380" w:rsidRPr="00F00D94" w:rsidRDefault="00EB1C72" w:rsidP="00737F09">
      <w:pPr>
        <w:pStyle w:val="ListParagraph"/>
        <w:numPr>
          <w:ilvl w:val="0"/>
          <w:numId w:val="54"/>
        </w:numPr>
        <w:jc w:val="both"/>
        <w:rPr>
          <w:rFonts w:ascii="Arial" w:hAnsi="Arial" w:cs="Arial"/>
          <w:i/>
        </w:rPr>
      </w:pPr>
      <w:hyperlink r:id="rId56" w:history="1">
        <w:r w:rsidR="00775380" w:rsidRPr="00F00D94">
          <w:rPr>
            <w:rStyle w:val="Hyperlink"/>
            <w:rFonts w:ascii="Arial" w:hAnsi="Arial" w:cs="Arial"/>
          </w:rPr>
          <w:t>Part 6</w:t>
        </w:r>
      </w:hyperlink>
      <w:r w:rsidR="00775380" w:rsidRPr="00F00D94">
        <w:rPr>
          <w:rFonts w:ascii="Arial" w:hAnsi="Arial" w:cs="Arial"/>
        </w:rPr>
        <w:t xml:space="preserve"> (Internal Control) of the OMB Compliance Supplement</w:t>
      </w:r>
    </w:p>
    <w:p w14:paraId="583DB542" w14:textId="77777777" w:rsidR="00775380" w:rsidRPr="00F00D94" w:rsidRDefault="00EB1C72" w:rsidP="00737F09">
      <w:pPr>
        <w:pStyle w:val="ListParagraph"/>
        <w:numPr>
          <w:ilvl w:val="0"/>
          <w:numId w:val="54"/>
        </w:numPr>
        <w:jc w:val="both"/>
        <w:rPr>
          <w:rFonts w:ascii="Arial" w:hAnsi="Arial" w:cs="Arial"/>
          <w:i/>
        </w:rPr>
      </w:pPr>
      <w:hyperlink r:id="rId57" w:history="1">
        <w:r w:rsidR="00775380" w:rsidRPr="00F00D94">
          <w:rPr>
            <w:rStyle w:val="Hyperlink"/>
            <w:rFonts w:ascii="Arial" w:hAnsi="Arial" w:cs="Arial"/>
          </w:rPr>
          <w:t>2013 COSO</w:t>
        </w:r>
      </w:hyperlink>
    </w:p>
    <w:p w14:paraId="525F8542" w14:textId="77777777" w:rsidR="00775380" w:rsidRPr="00F00D94" w:rsidRDefault="00EB1C72" w:rsidP="00737F09">
      <w:pPr>
        <w:pStyle w:val="ListParagraph"/>
        <w:numPr>
          <w:ilvl w:val="0"/>
          <w:numId w:val="54"/>
        </w:numPr>
        <w:spacing w:after="240"/>
        <w:jc w:val="both"/>
        <w:rPr>
          <w:rFonts w:ascii="Arial" w:hAnsi="Arial" w:cs="Arial"/>
          <w:i/>
        </w:rPr>
      </w:pPr>
      <w:hyperlink r:id="rId58" w:history="1">
        <w:r w:rsidR="00775380" w:rsidRPr="00F00D94">
          <w:rPr>
            <w:rStyle w:val="Hyperlink"/>
            <w:rFonts w:ascii="Arial" w:hAnsi="Arial" w:cs="Arial"/>
          </w:rPr>
          <w:t>GAO’s 2014 Green Book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737F09">
      <w:pPr>
        <w:pStyle w:val="ListParagraph"/>
        <w:numPr>
          <w:ilvl w:val="0"/>
          <w:numId w:val="55"/>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737F09">
      <w:pPr>
        <w:pStyle w:val="ListParagraph"/>
        <w:numPr>
          <w:ilvl w:val="0"/>
          <w:numId w:val="55"/>
        </w:numPr>
        <w:spacing w:after="240"/>
        <w:jc w:val="both"/>
        <w:rPr>
          <w:rFonts w:ascii="Arial" w:hAnsi="Arial" w:cs="Arial"/>
        </w:rPr>
      </w:pPr>
      <w:r w:rsidRPr="00F00D94">
        <w:rPr>
          <w:rFonts w:ascii="Arial" w:hAnsi="Arial" w:cs="Arial"/>
        </w:rPr>
        <w:lastRenderedPageBreak/>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737F09">
      <w:pPr>
        <w:pStyle w:val="ListParagraph"/>
        <w:numPr>
          <w:ilvl w:val="1"/>
          <w:numId w:val="55"/>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 CAPs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737F09">
      <w:pPr>
        <w:pStyle w:val="ListParagraph"/>
        <w:numPr>
          <w:ilvl w:val="1"/>
          <w:numId w:val="55"/>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737F09">
      <w:pPr>
        <w:pStyle w:val="ListParagraph"/>
        <w:numPr>
          <w:ilvl w:val="0"/>
          <w:numId w:val="55"/>
        </w:numPr>
        <w:spacing w:after="240"/>
        <w:jc w:val="both"/>
        <w:rPr>
          <w:rFonts w:ascii="Arial" w:hAnsi="Arial" w:cs="Arial"/>
        </w:rPr>
      </w:pPr>
      <w:r w:rsidRPr="00F00D94">
        <w:rPr>
          <w:rFonts w:ascii="Arial" w:hAnsi="Arial" w:cs="Arial"/>
        </w:rPr>
        <w:t>Cost allocations were in accordance with central service CAPs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737F09">
      <w:pPr>
        <w:pStyle w:val="ListParagraph"/>
        <w:numPr>
          <w:ilvl w:val="0"/>
          <w:numId w:val="56"/>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737F09">
      <w:pPr>
        <w:pStyle w:val="ListParagraph"/>
        <w:numPr>
          <w:ilvl w:val="1"/>
          <w:numId w:val="56"/>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2 CFR Part 200, Appendix V, paragraph D.</w:t>
      </w:r>
    </w:p>
    <w:p w14:paraId="775A6074" w14:textId="77777777" w:rsidR="00775380" w:rsidRPr="00F00D94" w:rsidRDefault="00775380" w:rsidP="00737F09">
      <w:pPr>
        <w:pStyle w:val="ListParagraph"/>
        <w:numPr>
          <w:ilvl w:val="1"/>
          <w:numId w:val="56"/>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737F09">
      <w:pPr>
        <w:pStyle w:val="ListParagraph"/>
        <w:numPr>
          <w:ilvl w:val="1"/>
          <w:numId w:val="56"/>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the requirements described in 2 CFR 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737F09">
      <w:pPr>
        <w:pStyle w:val="ListParagraph"/>
        <w:numPr>
          <w:ilvl w:val="1"/>
          <w:numId w:val="56"/>
        </w:numPr>
        <w:spacing w:after="240"/>
        <w:jc w:val="both"/>
        <w:rPr>
          <w:rFonts w:ascii="Arial" w:hAnsi="Arial" w:cs="Arial"/>
        </w:rPr>
      </w:pPr>
      <w:r w:rsidRPr="00F00D94">
        <w:rPr>
          <w:rFonts w:ascii="Arial" w:hAnsi="Arial" w:cs="Arial"/>
        </w:rPr>
        <w:t>All central service CAPs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737F09">
      <w:pPr>
        <w:pStyle w:val="ListParagraph"/>
        <w:numPr>
          <w:ilvl w:val="0"/>
          <w:numId w:val="56"/>
        </w:numPr>
        <w:spacing w:after="240"/>
        <w:jc w:val="both"/>
        <w:rPr>
          <w:rFonts w:ascii="Arial" w:hAnsi="Arial" w:cs="Arial"/>
          <w:i/>
        </w:rPr>
      </w:pPr>
      <w:r w:rsidRPr="00F00D94">
        <w:rPr>
          <w:rFonts w:ascii="Arial" w:hAnsi="Arial" w:cs="Arial"/>
          <w:i/>
        </w:rPr>
        <w:t>Documentation Requirements</w:t>
      </w:r>
    </w:p>
    <w:p w14:paraId="3CDED27E" w14:textId="77777777" w:rsidR="00775380" w:rsidRPr="00F00D94" w:rsidRDefault="00775380" w:rsidP="00737F09">
      <w:pPr>
        <w:pStyle w:val="ListParagraph"/>
        <w:numPr>
          <w:ilvl w:val="1"/>
          <w:numId w:val="56"/>
        </w:numPr>
        <w:spacing w:after="240"/>
        <w:jc w:val="both"/>
        <w:rPr>
          <w:rFonts w:ascii="Arial" w:hAnsi="Arial" w:cs="Arial"/>
        </w:rPr>
      </w:pPr>
      <w:r w:rsidRPr="00F00D94">
        <w:rPr>
          <w:rFonts w:ascii="Arial" w:hAnsi="Arial" w:cs="Arial"/>
        </w:rPr>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737F09">
      <w:pPr>
        <w:pStyle w:val="ListParagraph"/>
        <w:numPr>
          <w:ilvl w:val="1"/>
          <w:numId w:val="56"/>
        </w:numPr>
        <w:spacing w:after="240"/>
        <w:jc w:val="both"/>
        <w:rPr>
          <w:rFonts w:ascii="Arial" w:hAnsi="Arial" w:cs="Arial"/>
        </w:rPr>
      </w:pPr>
      <w:r w:rsidRPr="00F00D94">
        <w:rPr>
          <w:rFonts w:ascii="Arial" w:hAnsi="Arial" w:cs="Arial"/>
        </w:rPr>
        <w:t>The documentation requirements for all central service CAPs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737F09">
      <w:pPr>
        <w:pStyle w:val="ListParagraph"/>
        <w:numPr>
          <w:ilvl w:val="0"/>
          <w:numId w:val="56"/>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737F09">
      <w:pPr>
        <w:pStyle w:val="ListParagraph"/>
        <w:numPr>
          <w:ilvl w:val="0"/>
          <w:numId w:val="56"/>
        </w:numPr>
        <w:spacing w:after="240"/>
        <w:jc w:val="both"/>
        <w:rPr>
          <w:rFonts w:ascii="Arial" w:hAnsi="Arial" w:cs="Arial"/>
        </w:rPr>
      </w:pPr>
      <w:r w:rsidRPr="00F00D94">
        <w:rPr>
          <w:rFonts w:ascii="Arial" w:hAnsi="Arial" w:cs="Arial"/>
          <w:i/>
        </w:rPr>
        <w:lastRenderedPageBreak/>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737F09">
      <w:pPr>
        <w:pStyle w:val="ListParagraph"/>
        <w:numPr>
          <w:ilvl w:val="0"/>
          <w:numId w:val="56"/>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737F09">
      <w:pPr>
        <w:pStyle w:val="ListParagraph"/>
        <w:numPr>
          <w:ilvl w:val="1"/>
          <w:numId w:val="56"/>
        </w:numPr>
        <w:spacing w:after="240"/>
        <w:jc w:val="both"/>
        <w:rPr>
          <w:rFonts w:ascii="Arial" w:hAnsi="Arial" w:cs="Arial"/>
        </w:rPr>
      </w:pPr>
      <w:r w:rsidRPr="00F00D94">
        <w:rPr>
          <w:rFonts w:ascii="Arial" w:hAnsi="Arial" w:cs="Arial"/>
        </w:rPr>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F00D94">
        <w:rPr>
          <w:rFonts w:ascii="Arial" w:hAnsi="Arial" w:cs="Arial"/>
          <w:color w:val="0000FF"/>
          <w:position w:val="1"/>
          <w:u w:val="single"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737F09">
      <w:pPr>
        <w:pStyle w:val="ListParagraph"/>
        <w:numPr>
          <w:ilvl w:val="1"/>
          <w:numId w:val="56"/>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CFR Part 200, 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737F09">
      <w:pPr>
        <w:pStyle w:val="ListParagraph"/>
        <w:numPr>
          <w:ilvl w:val="1"/>
          <w:numId w:val="56"/>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A comparison of the revenue generated by each billed service (including total revenues whether or not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737F09">
      <w:pPr>
        <w:pStyle w:val="ListParagraph"/>
        <w:numPr>
          <w:ilvl w:val="2"/>
          <w:numId w:val="56"/>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0A5FE0BF" w14:textId="77777777" w:rsidR="00775380" w:rsidRPr="00F00D94" w:rsidRDefault="00775380" w:rsidP="00737F09">
      <w:pPr>
        <w:pStyle w:val="ListParagraph"/>
        <w:numPr>
          <w:ilvl w:val="2"/>
          <w:numId w:val="56"/>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28C73CAD" w14:textId="77777777" w:rsidR="00775380" w:rsidRPr="00F00D94" w:rsidRDefault="00775380" w:rsidP="00737F09">
      <w:pPr>
        <w:pStyle w:val="ListParagraph"/>
        <w:numPr>
          <w:ilvl w:val="2"/>
          <w:numId w:val="56"/>
        </w:numPr>
        <w:spacing w:after="240"/>
        <w:jc w:val="both"/>
        <w:rPr>
          <w:rFonts w:ascii="Arial" w:hAnsi="Arial" w:cs="Arial"/>
        </w:rPr>
      </w:pPr>
      <w:r w:rsidRPr="00F00D94">
        <w:rPr>
          <w:rFonts w:ascii="Arial" w:hAnsi="Arial" w:cs="Arial"/>
        </w:rPr>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737F09">
      <w:pPr>
        <w:pStyle w:val="ListParagraph"/>
        <w:numPr>
          <w:ilvl w:val="2"/>
          <w:numId w:val="56"/>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737F09">
      <w:pPr>
        <w:pStyle w:val="ListParagraph"/>
        <w:numPr>
          <w:ilvl w:val="1"/>
          <w:numId w:val="56"/>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7832CD90" w14:textId="77777777" w:rsidR="00465EBD" w:rsidRPr="00F00D94" w:rsidRDefault="00465EBD" w:rsidP="001F0603">
      <w:pPr>
        <w:spacing w:after="240"/>
        <w:jc w:val="both"/>
        <w:rPr>
          <w:rFonts w:ascii="Arial" w:hAnsi="Arial" w:cs="Arial"/>
        </w:rPr>
      </w:pPr>
    </w:p>
    <w:p w14:paraId="6C6E7813" w14:textId="77777777" w:rsidR="00465EBD" w:rsidRPr="00F00D94" w:rsidRDefault="00465EBD" w:rsidP="006672EA">
      <w:pPr>
        <w:pStyle w:val="Heading4"/>
        <w:jc w:val="both"/>
        <w:rPr>
          <w:rFonts w:ascii="Arial" w:hAnsi="Arial" w:cs="Arial"/>
          <w:b w:val="0"/>
        </w:rPr>
      </w:pPr>
      <w:r w:rsidRPr="00F00D94">
        <w:rPr>
          <w:rFonts w:ascii="Arial" w:hAnsi="Arial" w:cs="Arial"/>
        </w:rPr>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b.</w:t>
            </w:r>
            <w:r w:rsidRPr="00F00D94">
              <w:rPr>
                <w:rFonts w:ascii="Arial" w:hAnsi="Arial" w:cs="Arial"/>
                <w:i/>
                <w:iCs/>
                <w:sz w:val="20"/>
              </w:rPr>
              <w:tab/>
              <w:t>General Audit Procedures for State/Local Government-Wide Central Service CAPs</w:t>
            </w:r>
            <w:r w:rsidRPr="00F00D94">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State/Local Government-Wide Central Service CAPs</w:t>
            </w:r>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State/Local Government-Wide Central Service CAPs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lastRenderedPageBreak/>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383F106D"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State/Local Government-Wide Central Service CAPs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Retained earnings/fund balances (including reserves) are computed in accordance with the cost principles;</w:t>
            </w:r>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lastRenderedPageBreak/>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3D80C18C" w14:textId="77777777" w:rsidR="00CE7224" w:rsidRPr="00F00D94" w:rsidRDefault="00CE7224" w:rsidP="006672EA">
      <w:pPr>
        <w:pStyle w:val="Heading3"/>
        <w:jc w:val="both"/>
        <w:rPr>
          <w:rFonts w:cs="Arial"/>
        </w:rPr>
      </w:pPr>
      <w:bookmarkStart w:id="39" w:name="_Toc115942614"/>
      <w:r w:rsidRPr="00F00D94">
        <w:rPr>
          <w:rFonts w:cs="Arial"/>
        </w:rPr>
        <w:t>Allowable Costs – State Public Assistance Agency Costs</w:t>
      </w:r>
      <w:bookmarkEnd w:id="39"/>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6B9948AC"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59" w:history="1">
        <w:r w:rsidR="003C0E2D" w:rsidRPr="00F00D94">
          <w:rPr>
            <w:rStyle w:val="Hyperlink"/>
            <w:rFonts w:ascii="Arial" w:hAnsi="Arial" w:cs="Arial"/>
            <w:sz w:val="20"/>
          </w:rPr>
          <w:t>45 CFR Part 95, Subpart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Major Federal programs typically administered by State public assistance agencies include: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4E2FDEBB" w14:textId="7285EC96"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77777777"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77777777" w:rsidR="007652BF" w:rsidRPr="00F00D94" w:rsidRDefault="00EB1C72" w:rsidP="00737F09">
      <w:pPr>
        <w:pStyle w:val="ListParagraph"/>
        <w:numPr>
          <w:ilvl w:val="0"/>
          <w:numId w:val="54"/>
        </w:numPr>
        <w:jc w:val="both"/>
        <w:rPr>
          <w:rFonts w:ascii="Arial" w:hAnsi="Arial" w:cs="Arial"/>
          <w:i/>
        </w:rPr>
      </w:pPr>
      <w:hyperlink r:id="rId60" w:history="1">
        <w:r w:rsidR="007652BF" w:rsidRPr="00F00D94">
          <w:rPr>
            <w:rStyle w:val="Hyperlink"/>
            <w:rFonts w:ascii="Arial" w:hAnsi="Arial" w:cs="Arial"/>
          </w:rPr>
          <w:t>Part 6</w:t>
        </w:r>
      </w:hyperlink>
      <w:r w:rsidR="007652BF" w:rsidRPr="00F00D94">
        <w:rPr>
          <w:rFonts w:ascii="Arial" w:hAnsi="Arial" w:cs="Arial"/>
        </w:rPr>
        <w:t xml:space="preserve"> (Internal Control) of the OMB Compliance Supplement</w:t>
      </w:r>
    </w:p>
    <w:p w14:paraId="7B9E67AF" w14:textId="77777777" w:rsidR="007652BF" w:rsidRPr="00F00D94" w:rsidRDefault="00EB1C72" w:rsidP="00737F09">
      <w:pPr>
        <w:pStyle w:val="ListParagraph"/>
        <w:numPr>
          <w:ilvl w:val="0"/>
          <w:numId w:val="54"/>
        </w:numPr>
        <w:jc w:val="both"/>
        <w:rPr>
          <w:rFonts w:ascii="Arial" w:hAnsi="Arial" w:cs="Arial"/>
          <w:i/>
        </w:rPr>
      </w:pPr>
      <w:hyperlink r:id="rId61" w:history="1">
        <w:r w:rsidR="007652BF" w:rsidRPr="00F00D94">
          <w:rPr>
            <w:rStyle w:val="Hyperlink"/>
            <w:rFonts w:ascii="Arial" w:hAnsi="Arial" w:cs="Arial"/>
          </w:rPr>
          <w:t>2013 COSO</w:t>
        </w:r>
      </w:hyperlink>
    </w:p>
    <w:p w14:paraId="06FC9858" w14:textId="77777777" w:rsidR="007652BF" w:rsidRPr="00F00D94" w:rsidRDefault="00EB1C72" w:rsidP="00737F09">
      <w:pPr>
        <w:pStyle w:val="ListParagraph"/>
        <w:numPr>
          <w:ilvl w:val="0"/>
          <w:numId w:val="54"/>
        </w:numPr>
        <w:spacing w:after="240"/>
        <w:jc w:val="both"/>
        <w:rPr>
          <w:rFonts w:ascii="Arial" w:hAnsi="Arial" w:cs="Arial"/>
          <w:i/>
        </w:rPr>
      </w:pPr>
      <w:hyperlink r:id="rId62" w:history="1">
        <w:r w:rsidR="007652BF" w:rsidRPr="00F00D94">
          <w:rPr>
            <w:rStyle w:val="Hyperlink"/>
            <w:rFonts w:ascii="Arial" w:hAnsi="Arial" w:cs="Arial"/>
          </w:rPr>
          <w:t>GAO’s 2014 Green Book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737F09">
      <w:pPr>
        <w:pStyle w:val="ListParagraph"/>
        <w:numPr>
          <w:ilvl w:val="0"/>
          <w:numId w:val="57"/>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737F09">
      <w:pPr>
        <w:pStyle w:val="ListParagraph"/>
        <w:numPr>
          <w:ilvl w:val="0"/>
          <w:numId w:val="57"/>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737F09">
      <w:pPr>
        <w:pStyle w:val="ListParagraph"/>
        <w:numPr>
          <w:ilvl w:val="1"/>
          <w:numId w:val="57"/>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737F09">
      <w:pPr>
        <w:pStyle w:val="ListParagraph"/>
        <w:numPr>
          <w:ilvl w:val="1"/>
          <w:numId w:val="57"/>
        </w:numPr>
        <w:spacing w:after="240"/>
        <w:jc w:val="both"/>
        <w:rPr>
          <w:rFonts w:ascii="Arial" w:hAnsi="Arial" w:cs="Arial"/>
        </w:rPr>
      </w:pPr>
      <w:r w:rsidRPr="00F00D94">
        <w:rPr>
          <w:rFonts w:ascii="Arial" w:hAnsi="Arial" w:cs="Arial"/>
        </w:rPr>
        <w:lastRenderedPageBreak/>
        <w:t>Charges to cost pools allocated to federal awards through the public assistance CAP were for allowable costs.</w:t>
      </w:r>
    </w:p>
    <w:p w14:paraId="32778B92" w14:textId="47F5D9C5" w:rsidR="007652BF" w:rsidRPr="00F00D94" w:rsidRDefault="007652BF" w:rsidP="00737F09">
      <w:pPr>
        <w:pStyle w:val="ListParagraph"/>
        <w:numPr>
          <w:ilvl w:val="1"/>
          <w:numId w:val="57"/>
        </w:numPr>
        <w:spacing w:after="240"/>
        <w:jc w:val="both"/>
        <w:rPr>
          <w:rFonts w:ascii="Arial" w:hAnsi="Arial" w:cs="Arial"/>
        </w:rPr>
      </w:pPr>
      <w:r w:rsidRPr="00F00D94">
        <w:rPr>
          <w:rFonts w:ascii="Arial" w:hAnsi="Arial" w:cs="Arial"/>
        </w:rPr>
        <w:t>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principles, and produce an equitable and consistent distribution of costs.</w:t>
      </w:r>
    </w:p>
    <w:p w14:paraId="308230D9" w14:textId="577DCB17" w:rsidR="007652BF" w:rsidRPr="00F00D94" w:rsidRDefault="007652BF" w:rsidP="00737F09">
      <w:pPr>
        <w:pStyle w:val="ListParagraph"/>
        <w:numPr>
          <w:ilvl w:val="1"/>
          <w:numId w:val="57"/>
        </w:numPr>
        <w:spacing w:after="240"/>
        <w:jc w:val="both"/>
        <w:rPr>
          <w:rFonts w:ascii="Arial" w:hAnsi="Arial" w:cs="Arial"/>
        </w:rPr>
      </w:pPr>
      <w:r w:rsidRPr="00F00D94">
        <w:rPr>
          <w:rFonts w:ascii="Arial" w:hAnsi="Arial" w:cs="Arial"/>
        </w:rPr>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737F09">
      <w:pPr>
        <w:pStyle w:val="ListParagraph"/>
        <w:numPr>
          <w:ilvl w:val="1"/>
          <w:numId w:val="57"/>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737F09">
      <w:pPr>
        <w:pStyle w:val="ListParagraph"/>
        <w:numPr>
          <w:ilvl w:val="0"/>
          <w:numId w:val="58"/>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Unlike most State/local government-wide central service CAPs and ICRPs,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737F09">
      <w:pPr>
        <w:pStyle w:val="ListParagraph"/>
        <w:numPr>
          <w:ilvl w:val="1"/>
          <w:numId w:val="58"/>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737F09">
      <w:pPr>
        <w:pStyle w:val="ListParagraph"/>
        <w:numPr>
          <w:ilvl w:val="1"/>
          <w:numId w:val="58"/>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737F09">
      <w:pPr>
        <w:pStyle w:val="ListParagraph"/>
        <w:numPr>
          <w:ilvl w:val="1"/>
          <w:numId w:val="58"/>
        </w:numPr>
        <w:spacing w:after="240"/>
        <w:jc w:val="both"/>
        <w:rPr>
          <w:rFonts w:ascii="Arial" w:hAnsi="Arial" w:cs="Arial"/>
        </w:rPr>
      </w:pPr>
      <w:r w:rsidRPr="00F00D94">
        <w:rPr>
          <w:rFonts w:ascii="Arial" w:hAnsi="Arial" w:cs="Arial"/>
        </w:rPr>
        <w:t>The CAP for public assistance programs is amended so as to affect the allocation of costs.</w:t>
      </w:r>
    </w:p>
    <w:p w14:paraId="67288408" w14:textId="2FB1818F" w:rsidR="007652BF" w:rsidRPr="00F00D94" w:rsidRDefault="007652BF" w:rsidP="00737F09">
      <w:pPr>
        <w:pStyle w:val="ListParagraph"/>
        <w:numPr>
          <w:ilvl w:val="1"/>
          <w:numId w:val="58"/>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HHS for review and approval. </w:t>
      </w:r>
    </w:p>
    <w:p w14:paraId="54865709" w14:textId="46B72192" w:rsidR="007652BF" w:rsidRPr="00F00D94" w:rsidRDefault="007652BF" w:rsidP="00737F09">
      <w:pPr>
        <w:pStyle w:val="ListParagraph"/>
        <w:numPr>
          <w:ilvl w:val="0"/>
          <w:numId w:val="58"/>
        </w:numPr>
        <w:spacing w:after="240"/>
        <w:jc w:val="both"/>
        <w:rPr>
          <w:rFonts w:ascii="Arial" w:hAnsi="Arial" w:cs="Arial"/>
        </w:rPr>
      </w:pPr>
      <w:r w:rsidRPr="00F00D94">
        <w:rPr>
          <w:rFonts w:ascii="Arial" w:hAnsi="Arial" w:cs="Arial"/>
          <w:i/>
        </w:rPr>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737F09">
      <w:pPr>
        <w:pStyle w:val="ListParagraph"/>
        <w:numPr>
          <w:ilvl w:val="0"/>
          <w:numId w:val="58"/>
        </w:numPr>
        <w:spacing w:after="240"/>
        <w:jc w:val="both"/>
        <w:rPr>
          <w:rFonts w:ascii="Arial" w:hAnsi="Arial" w:cs="Arial"/>
        </w:rPr>
      </w:pPr>
      <w:r w:rsidRPr="00F00D94">
        <w:rPr>
          <w:rFonts w:ascii="Arial" w:hAnsi="Arial" w:cs="Arial"/>
          <w:i/>
        </w:rPr>
        <w:t>Implementation of Approved Public Assistance CAPs</w:t>
      </w:r>
      <w:r w:rsidRPr="00F00D94">
        <w:rPr>
          <w:rFonts w:ascii="Arial" w:hAnsi="Arial" w:cs="Arial"/>
        </w:rPr>
        <w:t xml:space="preserve"> – Since public assistance CAPs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23657F9C" w14:textId="77777777" w:rsidR="001F0603" w:rsidRPr="00F00D94" w:rsidRDefault="001F0603" w:rsidP="001F0603">
      <w:pPr>
        <w:spacing w:after="240"/>
        <w:rPr>
          <w:rFonts w:ascii="Arial" w:hAnsi="Arial" w:cs="Arial"/>
        </w:rPr>
      </w:pPr>
    </w:p>
    <w:p w14:paraId="542C6567" w14:textId="207AD5B7"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This may be applicable to public assistance programs at the local level</w:t>
            </w:r>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723E371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57D5A363"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Public Assistance CAPs</w:t>
            </w:r>
          </w:p>
          <w:p w14:paraId="51512206" w14:textId="5C9046C9"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63" w:history="1">
              <w:r w:rsidR="00135ACC" w:rsidRPr="00F00D94">
                <w:rPr>
                  <w:rStyle w:val="Hyperlink"/>
                  <w:rFonts w:ascii="Arial" w:hAnsi="Arial" w:cs="Arial"/>
                  <w:sz w:val="20"/>
                </w:rPr>
                <w:t>45 CFR 95.509</w:t>
              </w:r>
            </w:hyperlink>
            <w:r w:rsidRPr="00F00D94">
              <w:rPr>
                <w:rFonts w:ascii="Arial" w:hAnsi="Arial" w:cs="Arial"/>
                <w:sz w:val="20"/>
              </w:rPr>
              <w:t xml:space="preserve"> occur.</w:t>
            </w:r>
          </w:p>
          <w:p w14:paraId="30932F73" w14:textId="44C5A0A6"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64" w:history="1">
              <w:r w:rsidR="00135ACC" w:rsidRPr="00F00D94">
                <w:rPr>
                  <w:rStyle w:val="Hyperlink"/>
                  <w:rFonts w:ascii="Arial" w:hAnsi="Arial" w:cs="Arial"/>
                  <w:sz w:val="20"/>
                </w:rPr>
                <w:t>45 CFR 95.507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lastRenderedPageBreak/>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40" w:name="_Toc115942615"/>
      <w:r w:rsidRPr="00F00D94">
        <w:rPr>
          <w:rFonts w:cs="Arial"/>
        </w:rPr>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40"/>
    </w:p>
    <w:p w14:paraId="2E863FC5" w14:textId="6364110F"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NPO,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65" w:history="1">
        <w:r w:rsidRPr="00F00D94">
          <w:rPr>
            <w:rStyle w:val="Hyperlink"/>
            <w:rFonts w:ascii="Arial" w:hAnsi="Arial" w:cs="Arial"/>
            <w:sz w:val="20"/>
          </w:rPr>
          <w:t>Allowable Costs/Cost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saved within your working papers and the cross referenced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Cross Reference to the NPO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4EEBDCA" w14:textId="77777777" w:rsidR="007A0D51" w:rsidRPr="00F00D94" w:rsidRDefault="007A0D51" w:rsidP="006672EA">
      <w:pPr>
        <w:pStyle w:val="Heading3"/>
        <w:jc w:val="both"/>
        <w:rPr>
          <w:rFonts w:cs="Arial"/>
          <w:b w:val="0"/>
          <w:szCs w:val="24"/>
        </w:rPr>
      </w:pPr>
      <w:bookmarkStart w:id="41" w:name="_Toc115942616"/>
      <w:r w:rsidRPr="00F00D94">
        <w:rPr>
          <w:rFonts w:cs="Arial"/>
        </w:rPr>
        <w:t>Audit Implications Summary</w:t>
      </w:r>
      <w:bookmarkEnd w:id="41"/>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737F09">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7777777" w:rsidR="007A0D51" w:rsidRPr="00F00D94" w:rsidRDefault="007A0D51" w:rsidP="00737F09">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737F09">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737F09">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737F09">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66"/>
          <w:pgSz w:w="12240" w:h="15840" w:code="1"/>
          <w:pgMar w:top="1440" w:right="1440" w:bottom="1440" w:left="1440" w:header="720" w:footer="720" w:gutter="0"/>
          <w:cols w:space="720"/>
          <w:noEndnote/>
        </w:sectPr>
      </w:pPr>
    </w:p>
    <w:p w14:paraId="46891ABB" w14:textId="77777777" w:rsidR="007E5B12" w:rsidRPr="00F00D94" w:rsidRDefault="007E5B12" w:rsidP="006672EA">
      <w:pPr>
        <w:pStyle w:val="Heading2"/>
        <w:jc w:val="both"/>
        <w:rPr>
          <w:rFonts w:cs="Arial"/>
        </w:rPr>
      </w:pPr>
      <w:bookmarkStart w:id="42" w:name="B__LIST_OF_SELECTED_ITEMS"/>
      <w:bookmarkStart w:id="43" w:name="C___CASH_MANAGEMENT"/>
      <w:bookmarkStart w:id="44" w:name="_Toc442267698"/>
      <w:bookmarkStart w:id="45" w:name="_Toc115942617"/>
      <w:bookmarkEnd w:id="42"/>
      <w:bookmarkEnd w:id="43"/>
      <w:r w:rsidRPr="00F00D94">
        <w:rPr>
          <w:rFonts w:cs="Arial"/>
        </w:rPr>
        <w:lastRenderedPageBreak/>
        <w:t xml:space="preserve">H.  PERIOD </w:t>
      </w:r>
      <w:r w:rsidR="00F12052" w:rsidRPr="00F00D94">
        <w:rPr>
          <w:rFonts w:cs="Arial"/>
        </w:rPr>
        <w:t>OF PERFORMANCE</w:t>
      </w:r>
      <w:bookmarkEnd w:id="44"/>
      <w:bookmarkEnd w:id="45"/>
    </w:p>
    <w:p w14:paraId="14D3439D" w14:textId="03567A42"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67"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FDC7A2D" w14:textId="6A741EC6" w:rsidR="001231A7" w:rsidRPr="00F00D94" w:rsidRDefault="001231A7"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68"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07D5A30C" w14:textId="635B47C0" w:rsidR="007E5B12" w:rsidRPr="00F00D94" w:rsidRDefault="004655E0" w:rsidP="006672EA">
      <w:pPr>
        <w:pStyle w:val="Heading3"/>
        <w:jc w:val="both"/>
        <w:rPr>
          <w:rFonts w:cs="Arial"/>
        </w:rPr>
      </w:pPr>
      <w:bookmarkStart w:id="46" w:name="_Toc115942618"/>
      <w:r w:rsidRPr="00F00D94">
        <w:rPr>
          <w:rFonts w:cs="Arial"/>
        </w:rPr>
        <w:t xml:space="preserve">OMB </w:t>
      </w:r>
      <w:r w:rsidR="007E5B12" w:rsidRPr="00F00D94">
        <w:rPr>
          <w:rFonts w:cs="Arial"/>
        </w:rPr>
        <w:t>Compliance Requirements</w:t>
      </w:r>
      <w:bookmarkEnd w:id="46"/>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 non-Federal entity may charge only allowable costs incurred during the </w:t>
      </w:r>
      <w:r w:rsidR="00D90FD6" w:rsidRPr="00F00D94">
        <w:rPr>
          <w:rFonts w:ascii="Arial" w:hAnsi="Arial" w:cs="Arial"/>
          <w:sz w:val="20"/>
        </w:rPr>
        <w:t xml:space="preserve">approved budget period of a federal award’s </w:t>
      </w:r>
      <w:r w:rsidRPr="00F00D94">
        <w:rPr>
          <w:rFonts w:ascii="Arial" w:hAnsi="Arial" w:cs="Arial"/>
          <w:sz w:val="20"/>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sz w:val="20"/>
        </w:rPr>
        <w:t xml:space="preserve">sections </w:t>
      </w:r>
      <w:r w:rsidR="00073281" w:rsidRPr="00F00D94">
        <w:rPr>
          <w:rFonts w:ascii="Arial" w:hAnsi="Arial" w:cs="Arial"/>
          <w:sz w:val="20"/>
        </w:rPr>
        <w:t xml:space="preserve">2 CFR </w:t>
      </w:r>
      <w:r w:rsidR="008C1C80" w:rsidRPr="00F00D94">
        <w:rPr>
          <w:rFonts w:ascii="Arial" w:hAnsi="Arial" w:cs="Arial"/>
          <w:sz w:val="20"/>
        </w:rPr>
        <w:t>200.308</w:t>
      </w:r>
      <w:r w:rsidR="00D90FD6" w:rsidRPr="00F00D94">
        <w:rPr>
          <w:rFonts w:ascii="Arial" w:hAnsi="Arial" w:cs="Arial"/>
          <w:sz w:val="20"/>
        </w:rPr>
        <w:t>,</w:t>
      </w:r>
      <w:r w:rsidR="00D90FD6" w:rsidRPr="00F00D94">
        <w:rPr>
          <w:rFonts w:ascii="Arial" w:hAnsi="Arial" w:cs="Arial"/>
        </w:rPr>
        <w:t xml:space="preserve"> </w:t>
      </w:r>
      <w:r w:rsidR="008C1C80" w:rsidRPr="00F00D94">
        <w:rPr>
          <w:rFonts w:ascii="Arial" w:hAnsi="Arial" w:cs="Arial"/>
          <w:sz w:val="20"/>
        </w:rPr>
        <w:t>200.309</w:t>
      </w:r>
      <w:r w:rsidR="00073281" w:rsidRPr="00F00D94">
        <w:rPr>
          <w:rFonts w:ascii="Arial" w:hAnsi="Arial" w:cs="Arial"/>
          <w:sz w:val="20"/>
        </w:rPr>
        <w:t xml:space="preserve">, and </w:t>
      </w:r>
      <w:r w:rsidR="008C1C80" w:rsidRPr="00F00D94">
        <w:rPr>
          <w:rFonts w:ascii="Arial" w:hAnsi="Arial" w:cs="Arial"/>
          <w:sz w:val="20"/>
        </w:rPr>
        <w:t>200.403</w:t>
      </w:r>
      <w:r w:rsidR="00073281" w:rsidRPr="00F00D94">
        <w:rPr>
          <w:rFonts w:ascii="Arial" w:hAnsi="Arial" w:cs="Arial"/>
          <w:sz w:val="20"/>
        </w:rPr>
        <w:t xml:space="preserve">(h). A period of performance may contain one or more budget periods. </w:t>
      </w:r>
    </w:p>
    <w:p w14:paraId="150B4E26" w14:textId="4E533BE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Unless the Federal awarding agency or pass-through entity authorizes an extension, a non-Federal entity must liquidate all </w:t>
      </w:r>
      <w:r w:rsidR="00073281" w:rsidRPr="00F00D94">
        <w:rPr>
          <w:rFonts w:ascii="Arial" w:hAnsi="Arial" w:cs="Arial"/>
          <w:sz w:val="20"/>
        </w:rPr>
        <w:t xml:space="preserve">financial </w:t>
      </w:r>
      <w:r w:rsidRPr="00F00D94">
        <w:rPr>
          <w:rFonts w:ascii="Arial" w:hAnsi="Arial" w:cs="Arial"/>
          <w:sz w:val="20"/>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sz w:val="20"/>
        </w:rPr>
        <w:t>2 CFR 200.344(b)</w:t>
      </w:r>
      <w:r w:rsidRPr="00F00D94">
        <w:rPr>
          <w:rFonts w:ascii="Arial" w:hAnsi="Arial" w:cs="Arial"/>
          <w:sz w:val="20"/>
        </w:rPr>
        <w:t>).  When used in connection with a non-Federal entity’s utilization of funds under a Federal award, “</w:t>
      </w:r>
      <w:r w:rsidR="00073281" w:rsidRPr="00F00D94">
        <w:rPr>
          <w:rFonts w:ascii="Arial" w:hAnsi="Arial" w:cs="Arial"/>
          <w:sz w:val="20"/>
        </w:rPr>
        <w:t xml:space="preserve">financial </w:t>
      </w:r>
      <w:r w:rsidRPr="00F00D94">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sz w:val="20"/>
        </w:rPr>
        <w:t>2 CFR 200.1_Obligations</w:t>
      </w:r>
      <w:r w:rsidRPr="00F00D94">
        <w:rPr>
          <w:rFonts w:ascii="Arial" w:hAnsi="Arial" w:cs="Arial"/>
          <w:sz w:val="20"/>
        </w:rPr>
        <w:t>).</w:t>
      </w:r>
    </w:p>
    <w:p w14:paraId="0D59C9B0" w14:textId="1FC83313" w:rsidR="00073281"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3C20ABFE" w14:textId="43D18065"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the period of performance are contained in </w:t>
      </w:r>
      <w:r w:rsidR="008C1C80" w:rsidRPr="00F00D94">
        <w:rPr>
          <w:rFonts w:ascii="Arial" w:hAnsi="Arial" w:cs="Arial"/>
          <w:sz w:val="20"/>
        </w:rPr>
        <w:t>2 CFR 200.1</w:t>
      </w:r>
      <w:r w:rsidRPr="00F00D94">
        <w:rPr>
          <w:rFonts w:ascii="Arial" w:hAnsi="Arial" w:cs="Arial"/>
          <w:sz w:val="20"/>
        </w:rPr>
        <w:t xml:space="preserve"> </w:t>
      </w:r>
      <w:r w:rsidR="008C1C80" w:rsidRPr="00F00D94">
        <w:rPr>
          <w:rFonts w:ascii="Arial" w:hAnsi="Arial" w:cs="Arial"/>
          <w:sz w:val="20"/>
        </w:rPr>
        <w:t>d</w:t>
      </w:r>
      <w:r w:rsidR="009C2A3E" w:rsidRPr="00F00D94">
        <w:rPr>
          <w:rFonts w:ascii="Arial" w:hAnsi="Arial" w:cs="Arial"/>
          <w:sz w:val="20"/>
        </w:rPr>
        <w:t xml:space="preserve">efinitions for “budget period,” “financial obligations,” </w:t>
      </w:r>
      <w:r w:rsidRPr="00F00D94">
        <w:rPr>
          <w:rFonts w:ascii="Arial" w:hAnsi="Arial" w:cs="Arial"/>
          <w:sz w:val="20"/>
        </w:rPr>
        <w:t xml:space="preserve">“period of performance”, </w:t>
      </w:r>
      <w:r w:rsidR="008C1C80" w:rsidRPr="00F00D94">
        <w:rPr>
          <w:rFonts w:ascii="Arial" w:hAnsi="Arial" w:cs="Arial"/>
          <w:sz w:val="20"/>
        </w:rPr>
        <w:t>2 CFR 200.308</w:t>
      </w:r>
      <w:r w:rsidR="009C2A3E" w:rsidRPr="00F00D94">
        <w:rPr>
          <w:rFonts w:ascii="Arial" w:hAnsi="Arial" w:cs="Arial"/>
          <w:sz w:val="20"/>
        </w:rPr>
        <w:t xml:space="preserve"> Revisions of budget and program plans, </w:t>
      </w:r>
      <w:r w:rsidR="008C1C80" w:rsidRPr="00F00D94">
        <w:rPr>
          <w:rFonts w:ascii="Arial" w:hAnsi="Arial" w:cs="Arial"/>
          <w:sz w:val="20"/>
        </w:rPr>
        <w:t>2 CFR 200.309</w:t>
      </w:r>
      <w:r w:rsidRPr="00F00D94">
        <w:rPr>
          <w:rFonts w:ascii="Arial" w:hAnsi="Arial" w:cs="Arial"/>
          <w:sz w:val="20"/>
        </w:rPr>
        <w:t xml:space="preserve"> </w:t>
      </w:r>
      <w:r w:rsidR="009C2A3E" w:rsidRPr="00F00D94">
        <w:rPr>
          <w:rFonts w:ascii="Arial" w:hAnsi="Arial" w:cs="Arial"/>
          <w:sz w:val="20"/>
        </w:rPr>
        <w:t xml:space="preserve">Modifications to </w:t>
      </w:r>
      <w:r w:rsidRPr="00F00D94">
        <w:rPr>
          <w:rFonts w:ascii="Arial" w:hAnsi="Arial" w:cs="Arial"/>
          <w:sz w:val="20"/>
        </w:rPr>
        <w:t xml:space="preserve">period of performance, </w:t>
      </w:r>
      <w:r w:rsidR="008C1C80" w:rsidRPr="00F00D94">
        <w:rPr>
          <w:rFonts w:ascii="Arial" w:hAnsi="Arial" w:cs="Arial"/>
          <w:sz w:val="20"/>
        </w:rPr>
        <w:t>2 CFR 200.344</w:t>
      </w:r>
      <w:r w:rsidRPr="00F00D94">
        <w:rPr>
          <w:rFonts w:ascii="Arial" w:hAnsi="Arial" w:cs="Arial"/>
          <w:sz w:val="20"/>
        </w:rPr>
        <w:t xml:space="preserve"> (closeout), program</w:t>
      </w:r>
      <w:r w:rsidR="001A2A06" w:rsidRPr="00F00D94">
        <w:rPr>
          <w:rFonts w:ascii="Arial" w:hAnsi="Arial" w:cs="Arial"/>
          <w:sz w:val="20"/>
        </w:rPr>
        <w:t xml:space="preserve"> legislation</w:t>
      </w:r>
      <w:r w:rsidRPr="00F00D94">
        <w:rPr>
          <w:rFonts w:ascii="Arial" w:hAnsi="Arial" w:cs="Arial"/>
          <w:sz w:val="20"/>
        </w:rPr>
        <w:t>, Federal awarding agency regulations; and the terms and conditions of the award.</w:t>
      </w:r>
    </w:p>
    <w:p w14:paraId="4C730777" w14:textId="57376AFF" w:rsidR="00AA3456"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36F1F" w:rsidRPr="00F00D94">
        <w:rPr>
          <w:rFonts w:ascii="Arial" w:hAnsi="Arial" w:cs="Arial"/>
          <w:i/>
          <w:sz w:val="20"/>
        </w:rPr>
        <w:t>202</w:t>
      </w:r>
      <w:r w:rsidR="008A5757" w:rsidRPr="00F00D94">
        <w:rPr>
          <w:rFonts w:ascii="Arial" w:hAnsi="Arial" w:cs="Arial"/>
          <w:i/>
          <w:sz w:val="20"/>
        </w:rPr>
        <w:t>2</w:t>
      </w:r>
      <w:r w:rsidR="00236F1F"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36F1F" w:rsidRPr="00F00D94">
        <w:rPr>
          <w:rFonts w:ascii="Arial" w:hAnsi="Arial" w:cs="Arial"/>
          <w:i/>
          <w:sz w:val="20"/>
        </w:rPr>
        <w:t xml:space="preserve">Part </w:t>
      </w:r>
      <w:r w:rsidRPr="00F00D94">
        <w:rPr>
          <w:rFonts w:ascii="Arial" w:hAnsi="Arial" w:cs="Arial"/>
          <w:i/>
          <w:sz w:val="20"/>
        </w:rPr>
        <w:t>3)</w:t>
      </w:r>
    </w:p>
    <w:p w14:paraId="73F2320D" w14:textId="77777777" w:rsidR="00D7245B" w:rsidRPr="00F00D94" w:rsidRDefault="00D7245B" w:rsidP="006672EA">
      <w:pPr>
        <w:spacing w:after="240"/>
        <w:jc w:val="both"/>
        <w:rPr>
          <w:rFonts w:ascii="Arial" w:hAnsi="Arial" w:cs="Arial"/>
          <w:b/>
          <w:szCs w:val="24"/>
        </w:rPr>
      </w:pPr>
      <w:r w:rsidRPr="00F00D94">
        <w:rPr>
          <w:rFonts w:ascii="Arial" w:hAnsi="Arial" w:cs="Arial"/>
          <w:b/>
          <w:szCs w:val="24"/>
        </w:rPr>
        <w:t>Agency Codification Adjustments/Exceptions:</w:t>
      </w:r>
    </w:p>
    <w:p w14:paraId="191D57D8"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69"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70"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2B39C821" w14:textId="7BDA974D"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238B7FF1" w14:textId="53879162" w:rsidR="002D039D" w:rsidRPr="002D039D" w:rsidRDefault="002D039D" w:rsidP="002D039D">
      <w:pPr>
        <w:spacing w:after="240"/>
        <w:jc w:val="both"/>
        <w:rPr>
          <w:rFonts w:ascii="Arial" w:hAnsi="Arial" w:cs="Arial"/>
          <w:bCs/>
          <w:sz w:val="20"/>
        </w:rPr>
      </w:pPr>
      <w:r w:rsidRPr="002D039D">
        <w:rPr>
          <w:rFonts w:ascii="Arial" w:hAnsi="Arial" w:cs="Arial"/>
          <w:bCs/>
          <w:sz w:val="20"/>
        </w:rPr>
        <w:t>The period of performance for the award under the Fund begins on the date the awards are issued (i.e., the date funds are disbursed to recipients) and ends on December 31, 2026, pursuant to the Financial Assistance Agreement.</w:t>
      </w:r>
    </w:p>
    <w:p w14:paraId="6BB0CDC2" w14:textId="39B7F454" w:rsidR="002D039D" w:rsidRPr="002D039D" w:rsidRDefault="002D039D" w:rsidP="002D039D">
      <w:pPr>
        <w:spacing w:after="240"/>
        <w:jc w:val="both"/>
        <w:rPr>
          <w:rFonts w:ascii="Arial" w:hAnsi="Arial" w:cs="Arial"/>
          <w:bCs/>
          <w:sz w:val="20"/>
        </w:rPr>
      </w:pPr>
      <w:r w:rsidRPr="002D039D">
        <w:rPr>
          <w:rFonts w:ascii="Arial" w:hAnsi="Arial" w:cs="Arial"/>
          <w:bCs/>
          <w:sz w:val="20"/>
        </w:rPr>
        <w:lastRenderedPageBreak/>
        <w:t>Recipients may only use funds to cover costs incurred during the period beginning on March 3, 2021 and ending on December 31, 2024 per section 602(g)(1) of the Social Security Act as added by section 9901 of the American Rescue Plan Act of 2021, Pub. L. No. 117-2 and Treasury’s Interim Final Rule at 31 C.F.R. § 35.5(a). Recipients must liquidate all obligations incurred by December 31, 2024 under the award no later than December 31, 2026, which is the end of the period of performance. As such, auditors should test that recipients only used award funds to cover costs incurred from the period beginning on March 3, 2021 and ending on December 31, 2024. Auditors should also test that recipients did not incur and apply to their award any new costs during the period beginning December 31, 2024 and ending on December 31, 2026. During this two-year period, recipients are only permitted to liquidate all obligations they incurred by December 31, 2024.</w:t>
      </w:r>
    </w:p>
    <w:p w14:paraId="20A2905F" w14:textId="41C9899B" w:rsidR="002D039D" w:rsidRPr="002D039D" w:rsidRDefault="002D039D" w:rsidP="002D039D">
      <w:pPr>
        <w:spacing w:after="240"/>
        <w:jc w:val="both"/>
        <w:rPr>
          <w:rFonts w:ascii="Arial" w:hAnsi="Arial" w:cs="Arial"/>
          <w:bCs/>
          <w:i/>
          <w:sz w:val="20"/>
        </w:rPr>
      </w:pPr>
      <w:r>
        <w:rPr>
          <w:rFonts w:ascii="Arial" w:hAnsi="Arial" w:cs="Arial"/>
          <w:bCs/>
          <w:i/>
          <w:sz w:val="20"/>
        </w:rPr>
        <w:t xml:space="preserve">(Source: 2022 OMB Compliance Supplement, Part 4, Treasury, 21.027 Coronavirus State and Local Fiscal Recovery Fund) </w:t>
      </w:r>
    </w:p>
    <w:p w14:paraId="620B48E1" w14:textId="77777777" w:rsidR="00FC7102" w:rsidRPr="00F00D94" w:rsidRDefault="00FC7102" w:rsidP="006672EA">
      <w:pPr>
        <w:pStyle w:val="Heading3"/>
        <w:jc w:val="both"/>
        <w:rPr>
          <w:rFonts w:cs="Arial"/>
        </w:rPr>
      </w:pPr>
      <w:bookmarkStart w:id="47" w:name="_Toc115942619"/>
      <w:r w:rsidRPr="00F00D94">
        <w:rPr>
          <w:rFonts w:cs="Arial"/>
        </w:rPr>
        <w:t>Additional Program Specific Information</w:t>
      </w:r>
      <w:bookmarkEnd w:id="47"/>
    </w:p>
    <w:p w14:paraId="70937B04" w14:textId="12E13745" w:rsidR="00115904" w:rsidRPr="00F00D9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Period of Performance or Federal Funds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material requirements and delete this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p>
    <w:p w14:paraId="7A569597" w14:textId="77777777" w:rsidR="00C30DAB" w:rsidRPr="00F00D94" w:rsidRDefault="00205793" w:rsidP="006672EA">
      <w:pPr>
        <w:pStyle w:val="Heading3"/>
        <w:jc w:val="both"/>
        <w:rPr>
          <w:rFonts w:cs="Arial"/>
          <w:bCs/>
        </w:rPr>
      </w:pPr>
      <w:bookmarkStart w:id="48" w:name="_Toc115942620"/>
      <w:r w:rsidRPr="00F00D94">
        <w:rPr>
          <w:rFonts w:cs="Arial"/>
        </w:rPr>
        <w:t xml:space="preserve">Audit Objectives </w:t>
      </w:r>
      <w:r w:rsidR="00C30DAB" w:rsidRPr="00F00D94">
        <w:rPr>
          <w:rFonts w:cs="Arial"/>
        </w:rPr>
        <w:t>and Control Testing</w:t>
      </w:r>
      <w:bookmarkEnd w:id="48"/>
    </w:p>
    <w:p w14:paraId="5CB57338" w14:textId="5D5A47B5"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812221B" w14:textId="77777777" w:rsidR="008F7129" w:rsidRPr="00F00D94" w:rsidRDefault="00EB1C72" w:rsidP="00737F09">
      <w:pPr>
        <w:pStyle w:val="BodyText"/>
        <w:widowControl w:val="0"/>
        <w:numPr>
          <w:ilvl w:val="0"/>
          <w:numId w:val="50"/>
        </w:numPr>
        <w:autoSpaceDE w:val="0"/>
        <w:autoSpaceDN w:val="0"/>
        <w:spacing w:after="0"/>
        <w:rPr>
          <w:rFonts w:ascii="Arial" w:hAnsi="Arial" w:cs="Arial"/>
          <w:sz w:val="20"/>
          <w:szCs w:val="20"/>
        </w:rPr>
      </w:pPr>
      <w:hyperlink r:id="rId71"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2AB33BD4" w14:textId="77777777" w:rsidR="008F7129" w:rsidRPr="00F00D94" w:rsidRDefault="00EB1C72" w:rsidP="00737F09">
      <w:pPr>
        <w:pStyle w:val="BodyText"/>
        <w:widowControl w:val="0"/>
        <w:numPr>
          <w:ilvl w:val="0"/>
          <w:numId w:val="50"/>
        </w:numPr>
        <w:autoSpaceDE w:val="0"/>
        <w:autoSpaceDN w:val="0"/>
        <w:spacing w:after="0"/>
        <w:rPr>
          <w:rFonts w:ascii="Arial" w:hAnsi="Arial" w:cs="Arial"/>
          <w:sz w:val="20"/>
          <w:szCs w:val="20"/>
        </w:rPr>
      </w:pPr>
      <w:hyperlink r:id="rId72" w:history="1">
        <w:r w:rsidR="008F7129" w:rsidRPr="00F00D94">
          <w:rPr>
            <w:rStyle w:val="Hyperlink"/>
            <w:rFonts w:ascii="Arial" w:hAnsi="Arial" w:cs="Arial"/>
            <w:sz w:val="20"/>
            <w:szCs w:val="20"/>
          </w:rPr>
          <w:t>2013 COSO</w:t>
        </w:r>
      </w:hyperlink>
    </w:p>
    <w:p w14:paraId="390AFB93" w14:textId="77777777" w:rsidR="008F7129" w:rsidRPr="00F00D94" w:rsidRDefault="00EB1C72" w:rsidP="00737F09">
      <w:pPr>
        <w:pStyle w:val="BodyText"/>
        <w:widowControl w:val="0"/>
        <w:numPr>
          <w:ilvl w:val="0"/>
          <w:numId w:val="50"/>
        </w:numPr>
        <w:autoSpaceDE w:val="0"/>
        <w:autoSpaceDN w:val="0"/>
        <w:rPr>
          <w:rStyle w:val="Hyperlink"/>
          <w:rFonts w:ascii="Arial" w:hAnsi="Arial" w:cs="Arial"/>
          <w:color w:val="auto"/>
          <w:sz w:val="20"/>
          <w:szCs w:val="20"/>
          <w:u w:val="none"/>
        </w:rPr>
      </w:pPr>
      <w:hyperlink r:id="rId73" w:history="1">
        <w:r w:rsidR="008F7129" w:rsidRPr="00F00D94">
          <w:rPr>
            <w:rStyle w:val="Hyperlink"/>
            <w:rFonts w:ascii="Arial" w:hAnsi="Arial" w:cs="Arial"/>
            <w:sz w:val="20"/>
            <w:szCs w:val="20"/>
          </w:rPr>
          <w:t>GAO’s 2014 Green Book</w:t>
        </w:r>
      </w:hyperlink>
    </w:p>
    <w:p w14:paraId="7561FBC8"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B052F80"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0FC277B"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16A15AD" w14:textId="326E741C" w:rsidR="008F7129" w:rsidRPr="00F00D94" w:rsidRDefault="008F7129" w:rsidP="008F7129">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on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c</w:t>
      </w:r>
      <w:r w:rsidRPr="00F00D94">
        <w:rPr>
          <w:rFonts w:ascii="Arial" w:eastAsia="Arial" w:hAnsi="Arial" w:cs="Arial"/>
          <w:spacing w:val="1"/>
          <w:sz w:val="20"/>
        </w:rPr>
        <w:t>ha</w:t>
      </w:r>
      <w:r w:rsidRPr="00F00D94">
        <w:rPr>
          <w:rFonts w:ascii="Arial" w:eastAsia="Arial" w:hAnsi="Arial" w:cs="Arial"/>
          <w:spacing w:val="-1"/>
          <w:sz w:val="20"/>
        </w:rPr>
        <w:t>rg</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z w:val="20"/>
        </w:rPr>
        <w:t>r:</w:t>
      </w:r>
      <w:r w:rsidRPr="00F00D94">
        <w:rPr>
          <w:rFonts w:ascii="Arial" w:eastAsia="Arial" w:hAnsi="Arial" w:cs="Arial"/>
          <w:spacing w:val="66"/>
          <w:sz w:val="20"/>
        </w:rPr>
        <w:t xml:space="preserve"> </w:t>
      </w:r>
      <w:r w:rsidRPr="00F00D94">
        <w:rPr>
          <w:rFonts w:ascii="Arial" w:eastAsia="Arial" w:hAnsi="Arial" w:cs="Arial"/>
          <w:spacing w:val="-1"/>
          <w:sz w:val="20"/>
        </w:rPr>
        <w:t>(</w:t>
      </w:r>
      <w:r w:rsidRPr="00F00D94">
        <w:rPr>
          <w:rFonts w:ascii="Arial" w:eastAsia="Arial" w:hAnsi="Arial" w:cs="Arial"/>
          <w:spacing w:val="1"/>
          <w:sz w:val="20"/>
        </w:rPr>
        <w:t>a</w:t>
      </w:r>
      <w:r w:rsidRPr="00F00D94">
        <w:rPr>
          <w:rFonts w:ascii="Arial" w:eastAsia="Arial" w:hAnsi="Arial" w:cs="Arial"/>
          <w:sz w:val="20"/>
        </w:rPr>
        <w:t xml:space="preserve">) </w:t>
      </w:r>
      <w:r w:rsidRPr="00F00D94">
        <w:rPr>
          <w:rFonts w:ascii="Arial" w:eastAsia="Arial" w:hAnsi="Arial" w:cs="Arial"/>
          <w:spacing w:val="1"/>
          <w:sz w:val="20"/>
        </w:rPr>
        <w:t>a</w:t>
      </w:r>
      <w:r w:rsidRPr="00F00D94">
        <w:rPr>
          <w:rFonts w:ascii="Arial" w:eastAsia="Arial" w:hAnsi="Arial" w:cs="Arial"/>
          <w:sz w:val="20"/>
        </w:rPr>
        <w:t>ll</w:t>
      </w:r>
      <w:r w:rsidRPr="00F00D94">
        <w:rPr>
          <w:rFonts w:ascii="Arial" w:eastAsia="Arial" w:hAnsi="Arial" w:cs="Arial"/>
          <w:spacing w:val="1"/>
          <w:sz w:val="20"/>
        </w:rPr>
        <w:t>o</w:t>
      </w:r>
      <w:r w:rsidRPr="00F00D94">
        <w:rPr>
          <w:rFonts w:ascii="Arial" w:eastAsia="Arial" w:hAnsi="Arial" w:cs="Arial"/>
          <w:spacing w:val="-3"/>
          <w:sz w:val="20"/>
        </w:rPr>
        <w:t>w</w:t>
      </w:r>
      <w:r w:rsidRPr="00F00D94">
        <w:rPr>
          <w:rFonts w:ascii="Arial" w:eastAsia="Arial" w:hAnsi="Arial" w:cs="Arial"/>
          <w:spacing w:val="1"/>
          <w:sz w:val="20"/>
        </w:rPr>
        <w:t>ab</w:t>
      </w:r>
      <w:r w:rsidRPr="00F00D94">
        <w:rPr>
          <w:rFonts w:ascii="Arial" w:eastAsia="Arial" w:hAnsi="Arial" w:cs="Arial"/>
          <w:sz w:val="20"/>
        </w:rPr>
        <w:t>le c</w:t>
      </w:r>
      <w:r w:rsidRPr="00F00D94">
        <w:rPr>
          <w:rFonts w:ascii="Arial" w:eastAsia="Arial" w:hAnsi="Arial" w:cs="Arial"/>
          <w:spacing w:val="1"/>
          <w:sz w:val="20"/>
        </w:rPr>
        <w:t>o</w:t>
      </w:r>
      <w:r w:rsidRPr="00F00D94">
        <w:rPr>
          <w:rFonts w:ascii="Arial" w:eastAsia="Arial" w:hAnsi="Arial" w:cs="Arial"/>
          <w:sz w:val="20"/>
        </w:rPr>
        <w:t>sts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du</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pacing w:val="-1"/>
          <w:sz w:val="20"/>
        </w:rPr>
        <w:t>rm</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e</w:t>
      </w:r>
      <w:r w:rsidRPr="00F00D94">
        <w:rPr>
          <w:rFonts w:ascii="Arial" w:eastAsia="Arial" w:hAnsi="Arial" w:cs="Arial"/>
          <w:sz w:val="20"/>
        </w:rPr>
        <w:t>;</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w:t>
      </w:r>
      <w:r w:rsidRPr="00F00D94">
        <w:rPr>
          <w:rFonts w:ascii="Arial" w:eastAsia="Arial" w:hAnsi="Arial" w:cs="Arial"/>
          <w:spacing w:val="1"/>
          <w:sz w:val="20"/>
        </w:rPr>
        <w:t>b</w:t>
      </w:r>
      <w:r w:rsidRPr="00F00D94">
        <w:rPr>
          <w:rFonts w:ascii="Arial" w:eastAsia="Arial" w:hAnsi="Arial" w:cs="Arial"/>
          <w:sz w:val="20"/>
        </w:rPr>
        <w:t>) c</w:t>
      </w:r>
      <w:r w:rsidRPr="00F00D94">
        <w:rPr>
          <w:rFonts w:ascii="Arial" w:eastAsia="Arial" w:hAnsi="Arial" w:cs="Arial"/>
          <w:spacing w:val="1"/>
          <w:sz w:val="20"/>
        </w:rPr>
        <w:t>o</w:t>
      </w:r>
      <w:r w:rsidRPr="00F00D94">
        <w:rPr>
          <w:rFonts w:ascii="Arial" w:eastAsia="Arial" w:hAnsi="Arial" w:cs="Arial"/>
          <w:spacing w:val="-2"/>
          <w:sz w:val="20"/>
        </w:rPr>
        <w:t>s</w:t>
      </w:r>
      <w:r w:rsidRPr="00F00D94">
        <w:rPr>
          <w:rFonts w:ascii="Arial" w:eastAsia="Arial" w:hAnsi="Arial" w:cs="Arial"/>
          <w:sz w:val="20"/>
        </w:rPr>
        <w:t>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rre</w:t>
      </w:r>
      <w:r w:rsidRPr="00F00D94">
        <w:rPr>
          <w:rFonts w:ascii="Arial" w:eastAsia="Arial" w:hAnsi="Arial" w:cs="Arial"/>
          <w:sz w:val="20"/>
        </w:rPr>
        <w:t>d</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r to</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 xml:space="preserve">e </w:t>
      </w:r>
      <w:r w:rsidRPr="00F00D94">
        <w:rPr>
          <w:rFonts w:ascii="Arial" w:eastAsia="Arial" w:hAnsi="Arial" w:cs="Arial"/>
          <w:spacing w:val="1"/>
          <w:sz w:val="20"/>
        </w:rPr>
        <w:t>da</w:t>
      </w:r>
      <w:r w:rsidRPr="00F00D94">
        <w:rPr>
          <w:rFonts w:ascii="Arial" w:eastAsia="Arial" w:hAnsi="Arial" w:cs="Arial"/>
          <w:sz w:val="20"/>
        </w:rPr>
        <w:t>te</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4"/>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a</w:t>
      </w:r>
      <w:r w:rsidRPr="00F00D94">
        <w:rPr>
          <w:rFonts w:ascii="Arial" w:eastAsia="Arial" w:hAnsi="Arial" w:cs="Arial"/>
          <w:spacing w:val="-1"/>
          <w:sz w:val="20"/>
        </w:rPr>
        <w:t>u</w:t>
      </w:r>
      <w:r w:rsidRPr="00F00D94">
        <w:rPr>
          <w:rFonts w:ascii="Arial" w:eastAsia="Arial" w:hAnsi="Arial" w:cs="Arial"/>
          <w:sz w:val="20"/>
        </w:rPr>
        <w:t>t</w:t>
      </w:r>
      <w:r w:rsidRPr="00F00D94">
        <w:rPr>
          <w:rFonts w:ascii="Arial" w:eastAsia="Arial" w:hAnsi="Arial" w:cs="Arial"/>
          <w:spacing w:val="1"/>
          <w:sz w:val="20"/>
        </w:rPr>
        <w:t>ho</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2"/>
          <w:sz w:val="20"/>
        </w:rPr>
        <w:t>z</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b</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3"/>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al 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pacing w:val="1"/>
          <w:sz w:val="20"/>
        </w:rPr>
        <w:t>e</w:t>
      </w:r>
      <w:r w:rsidRPr="00F00D94">
        <w:rPr>
          <w:rFonts w:ascii="Arial" w:eastAsia="Arial" w:hAnsi="Arial" w:cs="Arial"/>
          <w:sz w:val="20"/>
        </w:rPr>
        <w:t>ncy</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pa</w:t>
      </w:r>
      <w:r w:rsidRPr="00F00D94">
        <w:rPr>
          <w:rFonts w:ascii="Arial" w:eastAsia="Arial" w:hAnsi="Arial" w:cs="Arial"/>
          <w:sz w:val="20"/>
        </w:rPr>
        <w:t>ss</w:t>
      </w:r>
      <w:r w:rsidRPr="00F00D94">
        <w:rPr>
          <w:rFonts w:ascii="Arial" w:eastAsia="Arial" w:hAnsi="Arial" w:cs="Arial"/>
          <w:spacing w:val="-1"/>
          <w:sz w:val="20"/>
        </w:rPr>
        <w:t>-</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r</w:t>
      </w:r>
      <w:r w:rsidRPr="00F00D94">
        <w:rPr>
          <w:rFonts w:ascii="Arial" w:eastAsia="Arial" w:hAnsi="Arial" w:cs="Arial"/>
          <w:spacing w:val="1"/>
          <w:sz w:val="20"/>
        </w:rPr>
        <w:t>ou</w:t>
      </w:r>
      <w:r w:rsidRPr="00F00D94">
        <w:rPr>
          <w:rFonts w:ascii="Arial" w:eastAsia="Arial" w:hAnsi="Arial" w:cs="Arial"/>
          <w:spacing w:val="-1"/>
          <w:sz w:val="20"/>
        </w:rPr>
        <w:t>g</w:t>
      </w:r>
      <w:r w:rsidRPr="00F00D94">
        <w:rPr>
          <w:rFonts w:ascii="Arial" w:eastAsia="Arial" w:hAnsi="Arial" w:cs="Arial"/>
          <w:sz w:val="20"/>
        </w:rPr>
        <w:t>h</w:t>
      </w:r>
      <w:r w:rsidRPr="00F00D94">
        <w:rPr>
          <w:rFonts w:ascii="Arial" w:eastAsia="Arial" w:hAnsi="Arial" w:cs="Arial"/>
          <w:spacing w:val="1"/>
          <w:sz w:val="20"/>
        </w:rPr>
        <w:t xml:space="preserve"> e</w:t>
      </w:r>
      <w:r w:rsidRPr="00F00D94">
        <w:rPr>
          <w:rFonts w:ascii="Arial" w:eastAsia="Arial" w:hAnsi="Arial" w:cs="Arial"/>
          <w:spacing w:val="-1"/>
          <w:sz w:val="20"/>
        </w:rPr>
        <w:t>n</w:t>
      </w:r>
      <w:r w:rsidRPr="00F00D94">
        <w:rPr>
          <w:rFonts w:ascii="Arial" w:eastAsia="Arial" w:hAnsi="Arial" w:cs="Arial"/>
          <w:sz w:val="20"/>
        </w:rPr>
        <w:t>tit</w:t>
      </w:r>
      <w:r w:rsidRPr="00F00D94">
        <w:rPr>
          <w:rFonts w:ascii="Arial" w:eastAsia="Arial" w:hAnsi="Arial" w:cs="Arial"/>
          <w:spacing w:val="-2"/>
          <w:sz w:val="20"/>
        </w:rPr>
        <w:t>y</w:t>
      </w:r>
      <w:r w:rsidRPr="00F00D94">
        <w:rPr>
          <w:rFonts w:ascii="Arial" w:eastAsia="Arial" w:hAnsi="Arial" w:cs="Arial"/>
          <w:sz w:val="20"/>
        </w:rPr>
        <w:t>.</w:t>
      </w:r>
    </w:p>
    <w:p w14:paraId="4DCE4B70" w14:textId="77777777" w:rsidR="008F7129" w:rsidRPr="00F00D94" w:rsidRDefault="008F7129" w:rsidP="008F7129">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financial </w:t>
      </w:r>
      <w:r w:rsidRPr="00F00D94">
        <w:rPr>
          <w:rFonts w:ascii="Arial" w:eastAsia="Arial" w:hAnsi="Arial" w:cs="Arial"/>
          <w:spacing w:val="1"/>
          <w:sz w:val="20"/>
        </w:rPr>
        <w:t>ob</w:t>
      </w:r>
      <w:r w:rsidRPr="00F00D94">
        <w:rPr>
          <w:rFonts w:ascii="Arial" w:eastAsia="Arial" w:hAnsi="Arial" w:cs="Arial"/>
          <w:spacing w:val="-3"/>
          <w:sz w:val="20"/>
        </w:rPr>
        <w:t>l</w:t>
      </w:r>
      <w:r w:rsidRPr="00F00D94">
        <w:rPr>
          <w:rFonts w:ascii="Arial" w:eastAsia="Arial" w:hAnsi="Arial" w:cs="Arial"/>
          <w:sz w:val="20"/>
        </w:rPr>
        <w:t>i</w:t>
      </w:r>
      <w:r w:rsidRPr="00F00D94">
        <w:rPr>
          <w:rFonts w:ascii="Arial" w:eastAsia="Arial" w:hAnsi="Arial" w:cs="Arial"/>
          <w:spacing w:val="-1"/>
          <w:sz w:val="20"/>
        </w:rPr>
        <w:t>g</w:t>
      </w:r>
      <w:r w:rsidRPr="00F00D94">
        <w:rPr>
          <w:rFonts w:ascii="Arial" w:eastAsia="Arial" w:hAnsi="Arial" w:cs="Arial"/>
          <w:spacing w:val="1"/>
          <w:sz w:val="20"/>
        </w:rPr>
        <w:t>a</w:t>
      </w:r>
      <w:r w:rsidRPr="00F00D94">
        <w:rPr>
          <w:rFonts w:ascii="Arial" w:eastAsia="Arial" w:hAnsi="Arial" w:cs="Arial"/>
          <w:sz w:val="20"/>
        </w:rPr>
        <w:t>ti</w:t>
      </w:r>
      <w:r w:rsidRPr="00F00D94">
        <w:rPr>
          <w:rFonts w:ascii="Arial" w:eastAsia="Arial" w:hAnsi="Arial" w:cs="Arial"/>
          <w:spacing w:val="1"/>
          <w:sz w:val="20"/>
        </w:rPr>
        <w:t>on</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li</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da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w:t>
      </w:r>
      <w:r w:rsidRPr="00F00D94">
        <w:rPr>
          <w:rFonts w:ascii="Arial" w:eastAsia="Arial" w:hAnsi="Arial" w:cs="Arial"/>
          <w:spacing w:val="1"/>
          <w:sz w:val="20"/>
        </w:rPr>
        <w:t>h</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pacing w:val="-1"/>
          <w:sz w:val="20"/>
        </w:rPr>
        <w:t>d</w:t>
      </w:r>
      <w:r w:rsidRPr="00F00D94">
        <w:rPr>
          <w:rFonts w:ascii="Arial" w:eastAsia="Arial" w:hAnsi="Arial" w:cs="Arial"/>
          <w:sz w:val="20"/>
        </w:rPr>
        <w:t>.</w:t>
      </w:r>
    </w:p>
    <w:p w14:paraId="66B5C43B" w14:textId="56FC5E13" w:rsidR="00C30DAB" w:rsidRPr="00F00D94" w:rsidRDefault="008F7129" w:rsidP="008F7129">
      <w:pPr>
        <w:spacing w:after="240" w:line="242" w:lineRule="auto"/>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839CB" w:rsidRPr="00F00D94" w14:paraId="3CF9FC7B" w14:textId="77777777" w:rsidTr="00E0350C">
        <w:tc>
          <w:tcPr>
            <w:tcW w:w="5000" w:type="pct"/>
            <w:shd w:val="clear" w:color="auto" w:fill="548DD4" w:themeFill="text2" w:themeFillTint="99"/>
          </w:tcPr>
          <w:p w14:paraId="6635E75E" w14:textId="77777777" w:rsidR="002839CB" w:rsidRPr="00F00D94" w:rsidRDefault="002839CB"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839CB" w:rsidRPr="00F00D94" w14:paraId="4C23173E" w14:textId="77777777" w:rsidTr="00E0350C">
        <w:tc>
          <w:tcPr>
            <w:tcW w:w="5000" w:type="pct"/>
          </w:tcPr>
          <w:p w14:paraId="5D57D3C6"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D642BA6" w14:textId="77777777" w:rsidR="002839CB" w:rsidRPr="00F00D94" w:rsidRDefault="002839CB" w:rsidP="006672EA">
            <w:pPr>
              <w:pStyle w:val="AuditProcedureHeading"/>
              <w:spacing w:after="240"/>
              <w:jc w:val="both"/>
              <w:rPr>
                <w:rFonts w:cs="Arial"/>
                <w:b/>
                <w:bCs/>
                <w:szCs w:val="20"/>
                <w:u w:val="single"/>
              </w:rPr>
            </w:pPr>
          </w:p>
          <w:p w14:paraId="56EB352D" w14:textId="77777777" w:rsidR="002839CB" w:rsidRPr="00F00D94" w:rsidRDefault="002839CB" w:rsidP="00A43BF7">
            <w:pPr>
              <w:spacing w:after="240"/>
              <w:jc w:val="both"/>
              <w:rPr>
                <w:rFonts w:ascii="Arial" w:hAnsi="Arial" w:cs="Arial"/>
                <w:b/>
                <w:sz w:val="20"/>
              </w:rPr>
            </w:pPr>
            <w:r w:rsidRPr="00F00D94">
              <w:rPr>
                <w:rFonts w:ascii="Arial" w:hAnsi="Arial" w:cs="Arial"/>
                <w:b/>
                <w:sz w:val="20"/>
                <w:u w:val="single"/>
              </w:rPr>
              <w:lastRenderedPageBreak/>
              <w:t>Control Procedure</w:t>
            </w:r>
            <w:r w:rsidRPr="00F00D94">
              <w:rPr>
                <w:rFonts w:ascii="Arial" w:hAnsi="Arial" w:cs="Arial"/>
                <w:sz w:val="20"/>
              </w:rPr>
              <w:t xml:space="preserve"> (description of how auditee uses the “Basis” to prevent, or identify and correct or detect errors):</w:t>
            </w:r>
          </w:p>
          <w:p w14:paraId="1863F031" w14:textId="77777777" w:rsidR="002839CB" w:rsidRPr="00F00D94" w:rsidRDefault="002839CB" w:rsidP="006672EA">
            <w:pPr>
              <w:pStyle w:val="AuditProcedureHeading"/>
              <w:spacing w:after="240"/>
              <w:jc w:val="both"/>
              <w:rPr>
                <w:rFonts w:cs="Arial"/>
                <w:b/>
                <w:bCs/>
                <w:szCs w:val="20"/>
                <w:u w:val="single"/>
              </w:rPr>
            </w:pPr>
          </w:p>
          <w:p w14:paraId="4D025068"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CD37FFE" w14:textId="77777777" w:rsidR="002839CB" w:rsidRPr="00F00D94" w:rsidRDefault="002839CB" w:rsidP="006672EA">
            <w:pPr>
              <w:spacing w:after="240"/>
              <w:jc w:val="both"/>
              <w:rPr>
                <w:rFonts w:ascii="Arial" w:hAnsi="Arial" w:cs="Arial"/>
                <w:b/>
                <w:sz w:val="20"/>
                <w:u w:val="single"/>
              </w:rPr>
            </w:pPr>
          </w:p>
          <w:p w14:paraId="08E227CA" w14:textId="77777777" w:rsidR="002839CB" w:rsidRPr="00F00D94" w:rsidRDefault="002839CB"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6906297" w14:textId="77777777" w:rsidR="002839CB" w:rsidRPr="00F00D94" w:rsidRDefault="002839CB" w:rsidP="006672EA">
            <w:pPr>
              <w:spacing w:after="240"/>
              <w:jc w:val="both"/>
              <w:rPr>
                <w:rFonts w:ascii="Arial" w:eastAsiaTheme="minorHAnsi" w:hAnsi="Arial" w:cs="Arial"/>
                <w:sz w:val="20"/>
              </w:rPr>
            </w:pP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77777777" w:rsidR="00DC3468" w:rsidRPr="00F00D94" w:rsidRDefault="00DC3468" w:rsidP="006672EA">
      <w:pPr>
        <w:pStyle w:val="Heading3"/>
        <w:jc w:val="both"/>
        <w:rPr>
          <w:rFonts w:cs="Arial"/>
        </w:rPr>
      </w:pPr>
      <w:bookmarkStart w:id="49" w:name="_Toc115942621"/>
      <w:r w:rsidRPr="00F00D94">
        <w:rPr>
          <w:rFonts w:cs="Arial"/>
        </w:rPr>
        <w:t>Suggested Audit Procedures – Compliance</w:t>
      </w:r>
      <w:bookmarkEnd w:id="49"/>
    </w:p>
    <w:tbl>
      <w:tblPr>
        <w:tblStyle w:val="TableGrid"/>
        <w:tblW w:w="5000" w:type="pct"/>
        <w:tblLook w:val="04A0" w:firstRow="1" w:lastRow="0" w:firstColumn="1" w:lastColumn="0" w:noHBand="0" w:noVBand="1"/>
      </w:tblPr>
      <w:tblGrid>
        <w:gridCol w:w="9350"/>
      </w:tblGrid>
      <w:tr w:rsidR="002839CB" w:rsidRPr="00F00D94" w14:paraId="6BE02280" w14:textId="77777777" w:rsidTr="00E0350C">
        <w:tc>
          <w:tcPr>
            <w:tcW w:w="5000" w:type="pct"/>
            <w:shd w:val="clear" w:color="auto" w:fill="548DD4" w:themeFill="text2" w:themeFillTint="99"/>
          </w:tcPr>
          <w:p w14:paraId="11E05A0C" w14:textId="77777777" w:rsidR="002839CB" w:rsidRPr="00F00D94" w:rsidRDefault="002839CB" w:rsidP="006672EA">
            <w:pPr>
              <w:pStyle w:val="AuditProcedureHeading"/>
              <w:jc w:val="both"/>
              <w:rPr>
                <w:rFonts w:cs="Arial"/>
                <w:sz w:val="28"/>
                <w:szCs w:val="28"/>
              </w:rPr>
            </w:pPr>
            <w:r w:rsidRPr="00F00D94">
              <w:rPr>
                <w:rFonts w:cs="Arial"/>
                <w:b/>
                <w:sz w:val="28"/>
                <w:szCs w:val="28"/>
              </w:rPr>
              <w:t>Suggested Audit Procedures – Compliance (Substantive Tests)</w:t>
            </w:r>
          </w:p>
          <w:p w14:paraId="66EB4C6F" w14:textId="77777777" w:rsidR="002839CB" w:rsidRPr="00F00D94" w:rsidRDefault="002839CB"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2839CB" w:rsidRPr="00F00D94" w14:paraId="2E2FC067" w14:textId="77777777" w:rsidTr="00E0350C">
        <w:tc>
          <w:tcPr>
            <w:tcW w:w="5000" w:type="pct"/>
          </w:tcPr>
          <w:p w14:paraId="45E99CC3"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F00D94" w14:paraId="56675D30" w14:textId="77777777" w:rsidTr="00E0350C">
        <w:tc>
          <w:tcPr>
            <w:tcW w:w="5000" w:type="pct"/>
          </w:tcPr>
          <w:p w14:paraId="78F507E8"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F00D94" w:rsidRDefault="00BA36CA" w:rsidP="006672EA">
      <w:pPr>
        <w:pStyle w:val="Heading3"/>
        <w:jc w:val="both"/>
        <w:rPr>
          <w:rFonts w:cs="Arial"/>
          <w:b w:val="0"/>
          <w:szCs w:val="24"/>
        </w:rPr>
      </w:pPr>
      <w:bookmarkStart w:id="50" w:name="_Toc115942622"/>
      <w:r w:rsidRPr="00F00D94">
        <w:rPr>
          <w:rFonts w:cs="Arial"/>
        </w:rPr>
        <w:t>Audit Implications Summary</w:t>
      </w:r>
      <w:bookmarkEnd w:id="50"/>
    </w:p>
    <w:tbl>
      <w:tblPr>
        <w:tblStyle w:val="TableGrid"/>
        <w:tblW w:w="5000" w:type="pct"/>
        <w:tblLook w:val="04A0" w:firstRow="1" w:lastRow="0" w:firstColumn="1" w:lastColumn="0" w:noHBand="0" w:noVBand="1"/>
      </w:tblPr>
      <w:tblGrid>
        <w:gridCol w:w="9350"/>
      </w:tblGrid>
      <w:tr w:rsidR="00BA36CA" w:rsidRPr="00F00D94" w14:paraId="6F19A09F" w14:textId="77777777" w:rsidTr="00E0350C">
        <w:tc>
          <w:tcPr>
            <w:tcW w:w="5000" w:type="pct"/>
            <w:shd w:val="clear" w:color="auto" w:fill="548DD4" w:themeFill="text2" w:themeFillTint="99"/>
          </w:tcPr>
          <w:p w14:paraId="4E31FF3D" w14:textId="77777777" w:rsidR="00BA36CA" w:rsidRPr="00F00D94" w:rsidRDefault="00BA36CA"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BA36CA" w:rsidRPr="00F00D94" w14:paraId="209A0E3E" w14:textId="77777777" w:rsidTr="00E0350C">
        <w:tc>
          <w:tcPr>
            <w:tcW w:w="5000" w:type="pct"/>
          </w:tcPr>
          <w:p w14:paraId="4533EF52" w14:textId="77777777" w:rsidR="00BA36CA" w:rsidRPr="00F00D94" w:rsidRDefault="00BA36CA" w:rsidP="00737F09">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deficiencies and </w:t>
            </w:r>
            <w:r w:rsidRPr="00F00D94">
              <w:rPr>
                <w:rFonts w:ascii="Arial" w:hAnsi="Arial" w:cs="Arial"/>
                <w:b/>
                <w:sz w:val="20"/>
              </w:rPr>
              <w:lastRenderedPageBreak/>
              <w:t>management letter items)</w:t>
            </w:r>
          </w:p>
          <w:p w14:paraId="7470E47E" w14:textId="77777777" w:rsidR="00BA36CA" w:rsidRPr="00F00D94" w:rsidRDefault="00BA36CA" w:rsidP="006672EA">
            <w:pPr>
              <w:widowControl w:val="0"/>
              <w:spacing w:after="240"/>
              <w:ind w:left="720"/>
              <w:jc w:val="both"/>
              <w:rPr>
                <w:rFonts w:ascii="Arial" w:hAnsi="Arial" w:cs="Arial"/>
                <w:b/>
                <w:sz w:val="20"/>
              </w:rPr>
            </w:pPr>
          </w:p>
          <w:p w14:paraId="29FAAF75" w14:textId="77777777" w:rsidR="00BA36CA" w:rsidRPr="00F00D94" w:rsidRDefault="00BA36CA" w:rsidP="00737F09">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737F09">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737F09">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737F09">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74"/>
          <w:pgSz w:w="12240" w:h="15840" w:code="1"/>
          <w:pgMar w:top="1440" w:right="1440" w:bottom="1440" w:left="1440" w:header="720" w:footer="720" w:gutter="0"/>
          <w:cols w:space="720"/>
          <w:noEndnote/>
        </w:sectPr>
      </w:pPr>
    </w:p>
    <w:p w14:paraId="7F30FCD6" w14:textId="77777777" w:rsidR="007E5B12" w:rsidRPr="00F00D94" w:rsidRDefault="007E5B12" w:rsidP="006672EA">
      <w:pPr>
        <w:pStyle w:val="Heading2"/>
        <w:jc w:val="both"/>
        <w:rPr>
          <w:rFonts w:cs="Arial"/>
        </w:rPr>
      </w:pPr>
      <w:bookmarkStart w:id="51" w:name="_Toc442267699"/>
      <w:bookmarkStart w:id="52" w:name="_Toc115942623"/>
      <w:r w:rsidRPr="00F00D94">
        <w:rPr>
          <w:rFonts w:cs="Arial"/>
        </w:rPr>
        <w:lastRenderedPageBreak/>
        <w:t>I.  PROCUREMENT AND SUSPENSION AND DEBARMENT</w:t>
      </w:r>
      <w:bookmarkEnd w:id="51"/>
      <w:bookmarkEnd w:id="52"/>
    </w:p>
    <w:p w14:paraId="1560ABE2" w14:textId="77777777" w:rsidR="00DC3468" w:rsidRPr="00F00D94" w:rsidRDefault="004655E0" w:rsidP="006672EA">
      <w:pPr>
        <w:pStyle w:val="Heading3"/>
        <w:jc w:val="both"/>
        <w:rPr>
          <w:rFonts w:cs="Arial"/>
        </w:rPr>
      </w:pPr>
      <w:bookmarkStart w:id="53" w:name="_Toc115942624"/>
      <w:r w:rsidRPr="00F00D94">
        <w:rPr>
          <w:rFonts w:cs="Arial"/>
        </w:rPr>
        <w:t xml:space="preserve">OMB </w:t>
      </w:r>
      <w:r w:rsidR="00DC3468" w:rsidRPr="00F00D94">
        <w:rPr>
          <w:rFonts w:cs="Arial"/>
        </w:rPr>
        <w:t xml:space="preserve">Compliance Requirements </w:t>
      </w:r>
      <w:r w:rsidR="009A0AA4" w:rsidRPr="00F00D94">
        <w:rPr>
          <w:rFonts w:cs="Arial"/>
        </w:rPr>
        <w:t>–</w:t>
      </w:r>
      <w:r w:rsidR="00DC3468" w:rsidRPr="00F00D94">
        <w:rPr>
          <w:rFonts w:cs="Arial"/>
        </w:rPr>
        <w:t xml:space="preserve"> Procurement</w:t>
      </w:r>
      <w:bookmarkEnd w:id="53"/>
    </w:p>
    <w:p w14:paraId="38AEC69B" w14:textId="21D2763C"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75"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463BAE2C" w14:textId="250FFF0F" w:rsidR="008C1C80" w:rsidRPr="00F00D94" w:rsidRDefault="008C1C80"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76"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2406096B" w14:textId="3A14ACF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F00D94">
        <w:rPr>
          <w:rFonts w:ascii="Arial" w:hAnsi="Arial" w:cs="Arial"/>
          <w:b/>
          <w:i/>
          <w:iCs/>
          <w:sz w:val="20"/>
        </w:rPr>
        <w:t>Procurement—Grants and Cooperative Agreements</w:t>
      </w:r>
    </w:p>
    <w:p w14:paraId="12E13900" w14:textId="77777777" w:rsidR="008F7129" w:rsidRPr="00F00D94" w:rsidRDefault="008F7129" w:rsidP="0028486A">
      <w:pPr>
        <w:spacing w:after="240"/>
        <w:jc w:val="both"/>
        <w:rPr>
          <w:rFonts w:ascii="Arial" w:hAnsi="Arial" w:cs="Arial"/>
          <w:i/>
          <w:sz w:val="20"/>
        </w:rPr>
      </w:pPr>
      <w:r w:rsidRPr="0028486A">
        <w:rPr>
          <w:rFonts w:ascii="Arial" w:hAnsi="Arial" w:cs="Arial"/>
          <w:i/>
          <w:color w:val="231F20"/>
          <w:sz w:val="20"/>
        </w:rPr>
        <w:t>States</w:t>
      </w:r>
    </w:p>
    <w:p w14:paraId="3B93180E" w14:textId="77777777" w:rsidR="008F7129" w:rsidRPr="00F00D94" w:rsidRDefault="008F7129"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231F20"/>
          <w:sz w:val="20"/>
        </w:rPr>
      </w:pPr>
      <w:r w:rsidRPr="0028486A">
        <w:rPr>
          <w:rFonts w:ascii="Arial" w:hAnsi="Arial" w:cs="Arial"/>
          <w:color w:val="231F20"/>
          <w:sz w:val="20"/>
        </w:rPr>
        <w:t>When procuring property and services, states must use the same policies and procedures they use for procurements from their non-federal funds (2 CFR section 200.317).</w:t>
      </w:r>
    </w:p>
    <w:p w14:paraId="16A410EF" w14:textId="062B0608" w:rsidR="00DC3468" w:rsidRPr="00F00D94" w:rsidRDefault="00DC3468"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Non-Federal Entities</w:t>
      </w:r>
      <w:r w:rsidR="00632E4E" w:rsidRPr="00F00D94">
        <w:rPr>
          <w:rFonts w:ascii="Arial" w:hAnsi="Arial" w:cs="Arial"/>
          <w:i/>
          <w:sz w:val="20"/>
        </w:rPr>
        <w:t xml:space="preserve"> Other than States</w:t>
      </w:r>
    </w:p>
    <w:p w14:paraId="2F2A6A1B" w14:textId="7762B150"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other than States, including those operating Federal programs as subrecipients of States, must follow the procurement standards set out at </w:t>
      </w:r>
      <w:r w:rsidR="008C1C80" w:rsidRPr="00F00D94">
        <w:rPr>
          <w:rFonts w:ascii="Arial" w:hAnsi="Arial" w:cs="Arial"/>
          <w:sz w:val="20"/>
        </w:rPr>
        <w:t>2 CFR 200.317 - 200.327</w:t>
      </w:r>
      <w:r w:rsidRPr="00F00D94">
        <w:rPr>
          <w:rFonts w:ascii="Arial" w:hAnsi="Arial" w:cs="Arial"/>
          <w:sz w:val="20"/>
        </w:rPr>
        <w:t>.  They must use their own documented procurement procedures, which reflect applicable State and local laws and regulations, provided that the procurements c</w:t>
      </w:r>
      <w:r w:rsidR="00740DC3" w:rsidRPr="00F00D94">
        <w:rPr>
          <w:rFonts w:ascii="Arial" w:hAnsi="Arial" w:cs="Arial"/>
          <w:sz w:val="20"/>
        </w:rPr>
        <w:t>onform to applicable Federal statutes</w:t>
      </w:r>
      <w:r w:rsidR="00952FD0" w:rsidRPr="00F00D94">
        <w:rPr>
          <w:rFonts w:ascii="Arial" w:hAnsi="Arial" w:cs="Arial"/>
          <w:sz w:val="20"/>
        </w:rPr>
        <w:t xml:space="preserve"> and the </w:t>
      </w:r>
      <w:r w:rsidR="00F44C22" w:rsidRPr="00F00D94">
        <w:rPr>
          <w:rFonts w:ascii="Arial" w:hAnsi="Arial" w:cs="Arial"/>
          <w:sz w:val="20"/>
        </w:rPr>
        <w:t>procurement requirements</w:t>
      </w:r>
      <w:r w:rsidR="00952FD0" w:rsidRPr="00F00D94">
        <w:rPr>
          <w:rFonts w:ascii="Arial" w:hAnsi="Arial" w:cs="Arial"/>
          <w:sz w:val="20"/>
        </w:rPr>
        <w:t xml:space="preserve"> identified in 2 CFR </w:t>
      </w:r>
      <w:r w:rsidR="008A5757" w:rsidRPr="00F00D94">
        <w:rPr>
          <w:rFonts w:ascii="Arial" w:hAnsi="Arial" w:cs="Arial"/>
          <w:sz w:val="20"/>
        </w:rPr>
        <w:t>P</w:t>
      </w:r>
      <w:r w:rsidR="00952FD0" w:rsidRPr="00F00D94">
        <w:rPr>
          <w:rFonts w:ascii="Arial" w:hAnsi="Arial" w:cs="Arial"/>
          <w:sz w:val="20"/>
        </w:rPr>
        <w:t>art 200</w:t>
      </w:r>
      <w:r w:rsidRPr="00F00D94">
        <w:rPr>
          <w:rFonts w:ascii="Arial" w:hAnsi="Arial" w:cs="Arial"/>
          <w:sz w:val="20"/>
        </w:rPr>
        <w:t>.  A non-Federal entity must:</w:t>
      </w:r>
    </w:p>
    <w:p w14:paraId="09355A04" w14:textId="2039543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Meet the general procurement standards </w:t>
      </w:r>
      <w:r w:rsidR="00952FD0" w:rsidRPr="00F00D94">
        <w:rPr>
          <w:rFonts w:ascii="Arial" w:hAnsi="Arial" w:cs="Arial"/>
          <w:sz w:val="20"/>
        </w:rPr>
        <w:t>in</w:t>
      </w:r>
      <w:r w:rsidRPr="00F00D94">
        <w:rPr>
          <w:rFonts w:ascii="Arial" w:hAnsi="Arial" w:cs="Arial"/>
          <w:sz w:val="20"/>
        </w:rPr>
        <w:t xml:space="preserve"> 2 CFR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F00D94">
        <w:rPr>
          <w:rFonts w:ascii="Arial" w:hAnsi="Arial" w:cs="Arial"/>
          <w:sz w:val="20"/>
        </w:rPr>
        <w:t>s</w:t>
      </w:r>
      <w:r w:rsidRPr="00F00D94">
        <w:rPr>
          <w:rFonts w:ascii="Arial" w:hAnsi="Arial" w:cs="Arial"/>
          <w:sz w:val="20"/>
        </w:rPr>
        <w:t>.</w:t>
      </w:r>
    </w:p>
    <w:p w14:paraId="5ECAF483" w14:textId="5261332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Conduct all procurement transactions in a manner providing full and open competition, in accordance with 2 CFR </w:t>
      </w:r>
      <w:r w:rsidR="007323BE" w:rsidRPr="00F00D94">
        <w:rPr>
          <w:rFonts w:ascii="Arial" w:hAnsi="Arial" w:cs="Arial"/>
          <w:sz w:val="20"/>
        </w:rPr>
        <w:t>200.</w:t>
      </w:r>
      <w:r w:rsidRPr="00F00D94">
        <w:rPr>
          <w:rFonts w:ascii="Arial" w:hAnsi="Arial" w:cs="Arial"/>
          <w:sz w:val="20"/>
        </w:rPr>
        <w:t>319.</w:t>
      </w:r>
    </w:p>
    <w:p w14:paraId="2B13341C" w14:textId="0324C75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Use the micro-purchase and small purchase methods only for procurements that meet the applicable criteria under 2 CFR 200.320(a)</w:t>
      </w:r>
      <w:r w:rsidR="009C2A3E" w:rsidRPr="00F00D94">
        <w:rPr>
          <w:rFonts w:ascii="Arial" w:hAnsi="Arial" w:cs="Arial"/>
          <w:sz w:val="20"/>
        </w:rPr>
        <w:t>(1)</w:t>
      </w:r>
      <w:r w:rsidRPr="00F00D94">
        <w:rPr>
          <w:rFonts w:ascii="Arial" w:hAnsi="Arial" w:cs="Arial"/>
          <w:sz w:val="20"/>
        </w:rPr>
        <w:t xml:space="preserve"> and (</w:t>
      </w:r>
      <w:r w:rsidR="009C2A3E" w:rsidRPr="00F00D94">
        <w:rPr>
          <w:rFonts w:ascii="Arial" w:hAnsi="Arial" w:cs="Arial"/>
          <w:sz w:val="20"/>
        </w:rPr>
        <w:t>2</w:t>
      </w:r>
      <w:r w:rsidRPr="00F00D94">
        <w:rPr>
          <w:rFonts w:ascii="Arial" w:hAnsi="Arial" w:cs="Arial"/>
          <w:sz w:val="20"/>
        </w:rPr>
        <w:t xml:space="preserve">).  </w:t>
      </w:r>
      <w:r w:rsidR="00AC57B4" w:rsidRPr="00F00D94">
        <w:rPr>
          <w:rFonts w:ascii="Arial" w:hAnsi="Arial" w:cs="Arial"/>
          <w:sz w:val="20"/>
        </w:rPr>
        <w:t>Under the micro-purchase method, the aggregate dollar amount does not exceed $</w:t>
      </w:r>
      <w:r w:rsidR="009C2A3E" w:rsidRPr="00F00D94">
        <w:rPr>
          <w:rFonts w:ascii="Arial" w:hAnsi="Arial" w:cs="Arial"/>
          <w:sz w:val="20"/>
        </w:rPr>
        <w:t>10,000</w:t>
      </w:r>
      <w:r w:rsidR="00A67D16" w:rsidRPr="00F00D94">
        <w:rPr>
          <w:rFonts w:ascii="Arial" w:hAnsi="Arial" w:cs="Arial"/>
          <w:sz w:val="20"/>
        </w:rPr>
        <w:t xml:space="preserve"> </w:t>
      </w:r>
      <w:r w:rsidR="00AC57B4" w:rsidRPr="00F00D94">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C2A3E" w:rsidRPr="00F00D94">
        <w:rPr>
          <w:rFonts w:ascii="Arial" w:hAnsi="Arial" w:cs="Arial"/>
          <w:sz w:val="20"/>
        </w:rPr>
        <w:t xml:space="preserve"> ($250,000)</w:t>
      </w:r>
      <w:r w:rsidR="00AC57B4" w:rsidRPr="00F00D94">
        <w:rPr>
          <w:rFonts w:ascii="Arial" w:hAnsi="Arial" w:cs="Arial"/>
          <w:sz w:val="20"/>
        </w:rPr>
        <w:t>.</w:t>
      </w:r>
      <w:r w:rsidR="00910E91" w:rsidRPr="00F00D94">
        <w:rPr>
          <w:rFonts w:ascii="Arial" w:hAnsi="Arial" w:cs="Arial"/>
          <w:sz w:val="20"/>
        </w:rPr>
        <w:t xml:space="preserve">  Micro-purchases may be awarded without soliciting competitive quotations if the non-Federal entity considers the price to be reasonable (2 CFR 200.320(a)).  If small purchase procedures are used, price or rate quotations must be obtained from an adequate number of qualified sources (2 CFR 200.320(b)).</w:t>
      </w:r>
      <w:r w:rsidR="00A67D16" w:rsidRPr="00F00D94">
        <w:rPr>
          <w:rFonts w:ascii="Arial" w:hAnsi="Arial" w:cs="Arial"/>
          <w:sz w:val="20"/>
        </w:rPr>
        <w:t xml:space="preserve">  </w:t>
      </w:r>
    </w:p>
    <w:p w14:paraId="1AC2ECF1" w14:textId="5FB38D04"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003C6FE4" w:rsidRPr="00F00D94">
        <w:rPr>
          <w:rFonts w:ascii="Arial" w:hAnsi="Arial" w:cs="Arial"/>
          <w:sz w:val="20"/>
        </w:rPr>
        <w:t xml:space="preserve">For acquisitions exceeding the simplified acquisition threshold, the non-Federal entity must use </w:t>
      </w:r>
      <w:r w:rsidR="005C5145" w:rsidRPr="00F00D94">
        <w:rPr>
          <w:rFonts w:ascii="Arial" w:hAnsi="Arial" w:cs="Arial"/>
          <w:sz w:val="20"/>
        </w:rPr>
        <w:t xml:space="preserve">one of the following procurement methods:  </w:t>
      </w:r>
      <w:r w:rsidR="003C6FE4" w:rsidRPr="00F00D94">
        <w:rPr>
          <w:rFonts w:ascii="Arial" w:hAnsi="Arial" w:cs="Arial"/>
          <w:sz w:val="20"/>
        </w:rPr>
        <w:t>the sealed bid method if the acquisition meets the criteria in 2 CFR 200.320(</w:t>
      </w:r>
      <w:r w:rsidR="009C2A3E" w:rsidRPr="00F00D94">
        <w:rPr>
          <w:rFonts w:ascii="Arial" w:hAnsi="Arial" w:cs="Arial"/>
          <w:sz w:val="20"/>
        </w:rPr>
        <w:t>b</w:t>
      </w:r>
      <w:r w:rsidR="003C6FE4" w:rsidRPr="00F00D94">
        <w:rPr>
          <w:rFonts w:ascii="Arial" w:hAnsi="Arial" w:cs="Arial"/>
          <w:sz w:val="20"/>
        </w:rPr>
        <w:t>); the competitive proposals method</w:t>
      </w:r>
      <w:r w:rsidR="00FE3D14" w:rsidRPr="00F00D94">
        <w:rPr>
          <w:rFonts w:ascii="Arial" w:hAnsi="Arial" w:cs="Arial"/>
          <w:sz w:val="20"/>
        </w:rPr>
        <w:t xml:space="preserve"> under the conditions specified in 2 CFR 200.</w:t>
      </w:r>
      <w:r w:rsidR="001806B4" w:rsidRPr="00F00D94">
        <w:rPr>
          <w:rFonts w:ascii="Arial" w:hAnsi="Arial" w:cs="Arial"/>
          <w:sz w:val="20"/>
        </w:rPr>
        <w:t>320(</w:t>
      </w:r>
      <w:r w:rsidR="009C2A3E" w:rsidRPr="00F00D94">
        <w:rPr>
          <w:rFonts w:ascii="Arial" w:hAnsi="Arial" w:cs="Arial"/>
          <w:sz w:val="20"/>
        </w:rPr>
        <w:t>b</w:t>
      </w:r>
      <w:r w:rsidR="001806B4" w:rsidRPr="00F00D94">
        <w:rPr>
          <w:rFonts w:ascii="Arial" w:hAnsi="Arial" w:cs="Arial"/>
          <w:sz w:val="20"/>
        </w:rPr>
        <w:t>)</w:t>
      </w:r>
      <w:r w:rsidR="009C2A3E" w:rsidRPr="00F00D94">
        <w:rPr>
          <w:rFonts w:ascii="Arial" w:hAnsi="Arial" w:cs="Arial"/>
          <w:sz w:val="20"/>
        </w:rPr>
        <w:t>(2)</w:t>
      </w:r>
      <w:r w:rsidR="005C5145" w:rsidRPr="00F00D94">
        <w:rPr>
          <w:rFonts w:ascii="Arial" w:hAnsi="Arial" w:cs="Arial"/>
          <w:sz w:val="20"/>
        </w:rPr>
        <w:t>;</w:t>
      </w:r>
      <w:r w:rsidR="006173DF" w:rsidRPr="00F00D94">
        <w:rPr>
          <w:rFonts w:ascii="Arial" w:hAnsi="Arial" w:cs="Arial"/>
          <w:sz w:val="20"/>
        </w:rPr>
        <w:t xml:space="preserve"> </w:t>
      </w:r>
      <w:r w:rsidR="00EE0D0A" w:rsidRPr="00F00D94">
        <w:rPr>
          <w:rFonts w:ascii="Arial" w:hAnsi="Arial" w:cs="Arial"/>
          <w:sz w:val="20"/>
        </w:rPr>
        <w:t>or</w:t>
      </w:r>
      <w:r w:rsidRPr="00F00D94">
        <w:rPr>
          <w:rFonts w:ascii="Arial" w:hAnsi="Arial" w:cs="Arial"/>
          <w:sz w:val="20"/>
        </w:rPr>
        <w:t xml:space="preserve"> the noncomp</w:t>
      </w:r>
      <w:r w:rsidR="007323BE" w:rsidRPr="00F00D94">
        <w:rPr>
          <w:rFonts w:ascii="Arial" w:hAnsi="Arial" w:cs="Arial"/>
          <w:sz w:val="20"/>
        </w:rPr>
        <w:t>etitive proposal</w:t>
      </w:r>
      <w:r w:rsidR="00EE0D0A" w:rsidRPr="00F00D94">
        <w:rPr>
          <w:rFonts w:ascii="Arial" w:hAnsi="Arial" w:cs="Arial"/>
          <w:sz w:val="20"/>
        </w:rPr>
        <w:t>s</w:t>
      </w:r>
      <w:r w:rsidR="007323BE" w:rsidRPr="00F00D94">
        <w:rPr>
          <w:rFonts w:ascii="Arial" w:hAnsi="Arial" w:cs="Arial"/>
          <w:sz w:val="20"/>
        </w:rPr>
        <w:t xml:space="preserve"> method (i.e.</w:t>
      </w:r>
      <w:r w:rsidRPr="00F00D94">
        <w:rPr>
          <w:rFonts w:ascii="Arial" w:hAnsi="Arial" w:cs="Arial"/>
          <w:sz w:val="20"/>
        </w:rPr>
        <w:t xml:space="preserve">, solicit a proposal from only one source) </w:t>
      </w:r>
      <w:r w:rsidR="001806B4" w:rsidRPr="00F00D94">
        <w:rPr>
          <w:rFonts w:ascii="Arial" w:hAnsi="Arial" w:cs="Arial"/>
          <w:sz w:val="20"/>
        </w:rPr>
        <w:t xml:space="preserve">but </w:t>
      </w:r>
      <w:r w:rsidRPr="00F00D94">
        <w:rPr>
          <w:rFonts w:ascii="Arial" w:hAnsi="Arial" w:cs="Arial"/>
          <w:sz w:val="20"/>
        </w:rPr>
        <w:t>only when one or more of four circumstances are met, in accordance with 2 CFR 200.320(</w:t>
      </w:r>
      <w:r w:rsidR="009C2A3E" w:rsidRPr="00F00D94">
        <w:rPr>
          <w:rFonts w:ascii="Arial" w:hAnsi="Arial" w:cs="Arial"/>
          <w:sz w:val="20"/>
        </w:rPr>
        <w:t>c</w:t>
      </w:r>
      <w:r w:rsidRPr="00F00D94">
        <w:rPr>
          <w:rFonts w:ascii="Arial" w:hAnsi="Arial" w:cs="Arial"/>
          <w:sz w:val="20"/>
        </w:rPr>
        <w:t>).</w:t>
      </w:r>
      <w:r w:rsidR="00AC57B4" w:rsidRPr="00F00D94">
        <w:rPr>
          <w:rFonts w:ascii="Arial" w:hAnsi="Arial" w:cs="Arial"/>
          <w:sz w:val="20"/>
        </w:rPr>
        <w:t xml:space="preserve">  </w:t>
      </w:r>
    </w:p>
    <w:p w14:paraId="43089A10" w14:textId="5E7887A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Perform a cost or price analysis in connection with every procu</w:t>
      </w:r>
      <w:r w:rsidR="007323BE" w:rsidRPr="00F00D94">
        <w:rPr>
          <w:rFonts w:ascii="Arial" w:hAnsi="Arial" w:cs="Arial"/>
          <w:sz w:val="20"/>
        </w:rPr>
        <w:t>rement action in excess of the simplified acquisition t</w:t>
      </w:r>
      <w:r w:rsidRPr="00F00D94">
        <w:rPr>
          <w:rFonts w:ascii="Arial" w:hAnsi="Arial" w:cs="Arial"/>
          <w:sz w:val="20"/>
        </w:rPr>
        <w:t xml:space="preserve">hreshold, including contract modifications (2 CFR 200.323(a)). </w:t>
      </w:r>
      <w:r w:rsidR="007323BE" w:rsidRPr="00F00D94">
        <w:rPr>
          <w:rFonts w:ascii="Arial" w:hAnsi="Arial" w:cs="Arial"/>
          <w:sz w:val="20"/>
        </w:rPr>
        <w:t xml:space="preserve"> </w:t>
      </w:r>
      <w:r w:rsidRPr="00F00D94">
        <w:rPr>
          <w:rFonts w:ascii="Arial" w:hAnsi="Arial" w:cs="Arial"/>
          <w:sz w:val="20"/>
        </w:rPr>
        <w:t>The cost plus a percentage of cost and percentage of construction cost methods of contracting must not be used (2 CFR 200.323(</w:t>
      </w:r>
      <w:r w:rsidR="009C2A3E" w:rsidRPr="00F00D94">
        <w:rPr>
          <w:rFonts w:ascii="Arial" w:hAnsi="Arial" w:cs="Arial"/>
          <w:sz w:val="20"/>
        </w:rPr>
        <w:t>b</w:t>
      </w:r>
      <w:r w:rsidRPr="00F00D94">
        <w:rPr>
          <w:rFonts w:ascii="Arial" w:hAnsi="Arial" w:cs="Arial"/>
          <w:sz w:val="20"/>
        </w:rPr>
        <w:t>))</w:t>
      </w:r>
      <w:r w:rsidR="007323BE" w:rsidRPr="00F00D94">
        <w:rPr>
          <w:rFonts w:ascii="Arial" w:hAnsi="Arial" w:cs="Arial"/>
          <w:sz w:val="20"/>
        </w:rPr>
        <w:t>.</w:t>
      </w:r>
    </w:p>
    <w:p w14:paraId="3C0B40B6" w14:textId="59B70DB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Ensure that every purchase order or other contract includes applicable provisions required by 2 CFR 200.326.  These provisions are described i</w:t>
      </w:r>
      <w:r w:rsidR="007323BE" w:rsidRPr="00F00D94">
        <w:rPr>
          <w:rFonts w:ascii="Arial" w:hAnsi="Arial" w:cs="Arial"/>
          <w:sz w:val="20"/>
        </w:rPr>
        <w:t xml:space="preserve">n Appendix II to 2 CFR </w:t>
      </w:r>
      <w:r w:rsidR="008C1C80" w:rsidRPr="00F00D94">
        <w:rPr>
          <w:rFonts w:ascii="Arial" w:hAnsi="Arial" w:cs="Arial"/>
          <w:sz w:val="20"/>
        </w:rPr>
        <w:t>P</w:t>
      </w:r>
      <w:r w:rsidR="007323BE" w:rsidRPr="00F00D94">
        <w:rPr>
          <w:rFonts w:ascii="Arial" w:hAnsi="Arial" w:cs="Arial"/>
          <w:sz w:val="20"/>
        </w:rPr>
        <w:t>art 200, “</w:t>
      </w:r>
      <w:r w:rsidRPr="00F00D94">
        <w:rPr>
          <w:rFonts w:ascii="Arial" w:hAnsi="Arial" w:cs="Arial"/>
          <w:sz w:val="20"/>
        </w:rPr>
        <w:t xml:space="preserve">Contract Provisions for </w:t>
      </w:r>
      <w:r w:rsidR="00952FD0" w:rsidRPr="00F00D94">
        <w:rPr>
          <w:rFonts w:ascii="Arial" w:hAnsi="Arial" w:cs="Arial"/>
          <w:sz w:val="20"/>
        </w:rPr>
        <w:t>N</w:t>
      </w:r>
      <w:r w:rsidRPr="00F00D94">
        <w:rPr>
          <w:rFonts w:ascii="Arial" w:hAnsi="Arial" w:cs="Arial"/>
          <w:sz w:val="20"/>
        </w:rPr>
        <w:t>on-Federal Entity Contracts Under Federal Awards.</w:t>
      </w:r>
      <w:r w:rsidR="007323BE" w:rsidRPr="00F00D94">
        <w:rPr>
          <w:rFonts w:ascii="Arial" w:hAnsi="Arial" w:cs="Arial"/>
          <w:sz w:val="20"/>
        </w:rPr>
        <w:t>”</w:t>
      </w:r>
    </w:p>
    <w:p w14:paraId="16BE6B59" w14:textId="77777777" w:rsidR="00DC3468" w:rsidRPr="00F00D94" w:rsidRDefault="00DC3468" w:rsidP="006672EA">
      <w:pPr>
        <w:spacing w:after="240"/>
        <w:jc w:val="both"/>
        <w:rPr>
          <w:rFonts w:ascii="Arial" w:hAnsi="Arial" w:cs="Arial"/>
          <w:b/>
          <w:i/>
          <w:sz w:val="20"/>
        </w:rPr>
      </w:pPr>
      <w:r w:rsidRPr="00F00D94">
        <w:rPr>
          <w:rFonts w:ascii="Arial" w:hAnsi="Arial" w:cs="Arial"/>
          <w:b/>
          <w:i/>
          <w:sz w:val="20"/>
        </w:rPr>
        <w:t>Procurement—Cost-Reimbursement Contracts</w:t>
      </w:r>
      <w:r w:rsidR="00FC4DA6" w:rsidRPr="00F00D94">
        <w:rPr>
          <w:rFonts w:ascii="Arial" w:hAnsi="Arial" w:cs="Arial"/>
          <w:b/>
          <w:i/>
          <w:sz w:val="20"/>
        </w:rPr>
        <w:t xml:space="preserve"> under the Federal Acquisition Regulation</w:t>
      </w:r>
    </w:p>
    <w:p w14:paraId="2228F805" w14:textId="2A863F47" w:rsidR="00DC3468" w:rsidRPr="00F00D94"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When awarding subcontracts, n</w:t>
      </w:r>
      <w:r w:rsidR="00DC3468" w:rsidRPr="00F00D94">
        <w:rPr>
          <w:rFonts w:ascii="Arial" w:hAnsi="Arial" w:cs="Arial"/>
          <w:sz w:val="20"/>
        </w:rPr>
        <w:t xml:space="preserve">on-Federal entities receiving cost-reimbursement contracts </w:t>
      </w:r>
      <w:r w:rsidR="007323BE" w:rsidRPr="00F00D94">
        <w:rPr>
          <w:rFonts w:ascii="Arial" w:hAnsi="Arial" w:cs="Arial"/>
          <w:sz w:val="20"/>
        </w:rPr>
        <w:t>under the</w:t>
      </w:r>
      <w:r w:rsidR="00DC3468" w:rsidRPr="00F00D94">
        <w:rPr>
          <w:rFonts w:ascii="Arial" w:hAnsi="Arial" w:cs="Arial"/>
          <w:sz w:val="20"/>
        </w:rPr>
        <w:t xml:space="preserve"> Federal Acquisition Regulation (FAR) must comply with </w:t>
      </w:r>
      <w:r w:rsidRPr="00F00D94">
        <w:rPr>
          <w:rFonts w:ascii="Arial" w:hAnsi="Arial" w:cs="Arial"/>
          <w:sz w:val="20"/>
        </w:rPr>
        <w:t>t</w:t>
      </w:r>
      <w:r w:rsidR="00DC3468" w:rsidRPr="00F00D94">
        <w:rPr>
          <w:rFonts w:ascii="Arial" w:hAnsi="Arial" w:cs="Arial"/>
          <w:sz w:val="20"/>
        </w:rPr>
        <w:t xml:space="preserve">he clauses at </w:t>
      </w:r>
      <w:hyperlink r:id="rId77" w:history="1">
        <w:r w:rsidR="000023A2" w:rsidRPr="00F00D94">
          <w:rPr>
            <w:rStyle w:val="Hyperlink"/>
            <w:rFonts w:ascii="Arial" w:hAnsi="Arial" w:cs="Arial"/>
            <w:sz w:val="20"/>
          </w:rPr>
          <w:t>48 CFR 52.244-2</w:t>
        </w:r>
      </w:hyperlink>
      <w:r w:rsidR="00DC3468" w:rsidRPr="00F00D94">
        <w:rPr>
          <w:rFonts w:ascii="Arial" w:hAnsi="Arial" w:cs="Arial"/>
          <w:sz w:val="20"/>
        </w:rPr>
        <w:t xml:space="preserve"> (consent to subcontract), </w:t>
      </w:r>
      <w:hyperlink r:id="rId78" w:history="1">
        <w:r w:rsidR="00DC3468" w:rsidRPr="00F00D94">
          <w:rPr>
            <w:rStyle w:val="Hyperlink"/>
            <w:rFonts w:ascii="Arial" w:hAnsi="Arial" w:cs="Arial"/>
            <w:sz w:val="20"/>
          </w:rPr>
          <w:t>52.244-5</w:t>
        </w:r>
      </w:hyperlink>
      <w:r w:rsidR="00DC3468" w:rsidRPr="00F00D94">
        <w:rPr>
          <w:rFonts w:ascii="Arial" w:hAnsi="Arial" w:cs="Arial"/>
          <w:sz w:val="20"/>
        </w:rPr>
        <w:t xml:space="preserve"> (competition), </w:t>
      </w:r>
      <w:hyperlink r:id="rId79" w:history="1">
        <w:r w:rsidR="00DC3468" w:rsidRPr="00F00D94">
          <w:rPr>
            <w:rStyle w:val="Hyperlink"/>
            <w:rFonts w:ascii="Arial" w:hAnsi="Arial" w:cs="Arial"/>
            <w:sz w:val="20"/>
          </w:rPr>
          <w:t>52.203-13</w:t>
        </w:r>
      </w:hyperlink>
      <w:r w:rsidR="00DC3468" w:rsidRPr="00F00D94">
        <w:rPr>
          <w:rFonts w:ascii="Arial" w:hAnsi="Arial" w:cs="Arial"/>
          <w:sz w:val="20"/>
        </w:rPr>
        <w:t xml:space="preserve"> (code of business ethics), </w:t>
      </w:r>
      <w:hyperlink r:id="rId80" w:history="1">
        <w:r w:rsidR="00DC3468" w:rsidRPr="00F00D94">
          <w:rPr>
            <w:rStyle w:val="Hyperlink"/>
            <w:rFonts w:ascii="Arial" w:hAnsi="Arial" w:cs="Arial"/>
            <w:sz w:val="20"/>
          </w:rPr>
          <w:t>52.203-16</w:t>
        </w:r>
      </w:hyperlink>
      <w:r w:rsidR="00DC3468" w:rsidRPr="00F00D94">
        <w:rPr>
          <w:rFonts w:ascii="Arial" w:hAnsi="Arial" w:cs="Arial"/>
          <w:sz w:val="20"/>
        </w:rPr>
        <w:t xml:space="preserve"> (conflicts of interest), and </w:t>
      </w:r>
      <w:hyperlink r:id="rId81" w:history="1">
        <w:r w:rsidR="00DC3468" w:rsidRPr="00F00D94">
          <w:rPr>
            <w:rStyle w:val="Hyperlink"/>
            <w:rFonts w:ascii="Arial" w:hAnsi="Arial" w:cs="Arial"/>
            <w:sz w:val="20"/>
          </w:rPr>
          <w:t>52.215.12</w:t>
        </w:r>
      </w:hyperlink>
      <w:r w:rsidR="00DC3468" w:rsidRPr="00F00D94">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 xml:space="preserve">Source of Governing Requirements – Procurement </w:t>
      </w:r>
    </w:p>
    <w:p w14:paraId="0B1B2236" w14:textId="760D7FAF"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requirements that apply to procurement under gra</w:t>
      </w:r>
      <w:r w:rsidR="007323BE" w:rsidRPr="00F00D94">
        <w:rPr>
          <w:rFonts w:ascii="Arial" w:hAnsi="Arial" w:cs="Arial"/>
          <w:sz w:val="20"/>
        </w:rPr>
        <w:t>nts</w:t>
      </w:r>
      <w:r w:rsidR="000679E5" w:rsidRPr="00F00D94">
        <w:rPr>
          <w:rFonts w:ascii="Arial" w:hAnsi="Arial" w:cs="Arial"/>
          <w:sz w:val="20"/>
        </w:rPr>
        <w:t xml:space="preserve"> and</w:t>
      </w:r>
      <w:r w:rsidRPr="00F00D94">
        <w:rPr>
          <w:rFonts w:ascii="Arial" w:hAnsi="Arial" w:cs="Arial"/>
          <w:sz w:val="20"/>
        </w:rPr>
        <w:t xml:space="preserve"> cooperative agreements</w:t>
      </w:r>
      <w:r w:rsidR="007323BE" w:rsidRPr="00F00D94">
        <w:rPr>
          <w:rFonts w:ascii="Arial" w:hAnsi="Arial" w:cs="Arial"/>
          <w:sz w:val="20"/>
        </w:rPr>
        <w:t xml:space="preserve"> </w:t>
      </w:r>
      <w:r w:rsidRPr="00F00D94">
        <w:rPr>
          <w:rFonts w:ascii="Arial" w:hAnsi="Arial" w:cs="Arial"/>
          <w:sz w:val="20"/>
        </w:rPr>
        <w:t xml:space="preserve">are contained in </w:t>
      </w:r>
      <w:r w:rsidR="000023A2" w:rsidRPr="00F00D94">
        <w:rPr>
          <w:rFonts w:ascii="Arial" w:hAnsi="Arial" w:cs="Arial"/>
          <w:sz w:val="20"/>
        </w:rPr>
        <w:t>2 CFR 200.317 - 200.327</w:t>
      </w:r>
      <w:r w:rsidR="00EE0D0A" w:rsidRPr="00F00D94">
        <w:rPr>
          <w:rFonts w:ascii="Arial" w:hAnsi="Arial" w:cs="Arial"/>
          <w:sz w:val="20"/>
        </w:rPr>
        <w:t>,</w:t>
      </w:r>
      <w:r w:rsidRPr="00F00D94">
        <w:rPr>
          <w:rFonts w:ascii="Arial" w:hAnsi="Arial" w:cs="Arial"/>
          <w:sz w:val="20"/>
        </w:rPr>
        <w:t xml:space="preserve"> </w:t>
      </w:r>
      <w:r w:rsidR="000679E5" w:rsidRPr="00F00D94">
        <w:rPr>
          <w:rFonts w:ascii="Arial" w:hAnsi="Arial" w:cs="Arial"/>
          <w:sz w:val="20"/>
        </w:rPr>
        <w:t xml:space="preserve">program legislation, </w:t>
      </w:r>
      <w:r w:rsidRPr="00F00D94">
        <w:rPr>
          <w:rFonts w:ascii="Arial" w:hAnsi="Arial" w:cs="Arial"/>
          <w:sz w:val="20"/>
        </w:rPr>
        <w:t>Federal awarding agency r</w:t>
      </w:r>
      <w:r w:rsidR="00EE0D0A" w:rsidRPr="00F00D94">
        <w:rPr>
          <w:rFonts w:ascii="Arial" w:hAnsi="Arial" w:cs="Arial"/>
          <w:sz w:val="20"/>
        </w:rPr>
        <w:t>egulations,</w:t>
      </w:r>
      <w:r w:rsidRPr="00F00D94">
        <w:rPr>
          <w:rFonts w:ascii="Arial" w:hAnsi="Arial" w:cs="Arial"/>
          <w:sz w:val="20"/>
        </w:rPr>
        <w:t xml:space="preserve"> and the terms and conditions of the award.  The requirements that apply to procurement under </w:t>
      </w:r>
      <w:r w:rsidR="000679E5" w:rsidRPr="00F00D94">
        <w:rPr>
          <w:rFonts w:ascii="Arial" w:hAnsi="Arial" w:cs="Arial"/>
          <w:sz w:val="20"/>
        </w:rPr>
        <w:t xml:space="preserve">cost-reimbursement </w:t>
      </w:r>
      <w:r w:rsidRPr="00F00D94">
        <w:rPr>
          <w:rFonts w:ascii="Arial" w:hAnsi="Arial" w:cs="Arial"/>
          <w:sz w:val="20"/>
        </w:rPr>
        <w:t xml:space="preserve">contracts </w:t>
      </w:r>
      <w:r w:rsidR="00EE0D0A" w:rsidRPr="00F00D94">
        <w:rPr>
          <w:rFonts w:ascii="Arial" w:hAnsi="Arial" w:cs="Arial"/>
          <w:sz w:val="20"/>
        </w:rPr>
        <w:t xml:space="preserve">under the FAR </w:t>
      </w:r>
      <w:r w:rsidRPr="00F00D94">
        <w:rPr>
          <w:rFonts w:ascii="Arial" w:hAnsi="Arial" w:cs="Arial"/>
          <w:sz w:val="20"/>
        </w:rPr>
        <w:t xml:space="preserve">are contained in 48 CFR </w:t>
      </w:r>
      <w:r w:rsidR="000023A2" w:rsidRPr="00F00D94">
        <w:rPr>
          <w:rFonts w:ascii="Arial" w:hAnsi="Arial" w:cs="Arial"/>
          <w:sz w:val="20"/>
        </w:rPr>
        <w:t>P</w:t>
      </w:r>
      <w:r w:rsidRPr="00F00D94">
        <w:rPr>
          <w:rFonts w:ascii="Arial" w:hAnsi="Arial" w:cs="Arial"/>
          <w:sz w:val="20"/>
        </w:rPr>
        <w:t>art</w:t>
      </w:r>
      <w:r w:rsidR="00EE0D0A" w:rsidRPr="00F00D94">
        <w:rPr>
          <w:rFonts w:ascii="Arial" w:hAnsi="Arial" w:cs="Arial"/>
          <w:sz w:val="20"/>
        </w:rPr>
        <w:t>s</w:t>
      </w:r>
      <w:r w:rsidRPr="00F00D94">
        <w:rPr>
          <w:rFonts w:ascii="Arial" w:hAnsi="Arial" w:cs="Arial"/>
          <w:sz w:val="20"/>
        </w:rPr>
        <w:t xml:space="preserve"> </w:t>
      </w:r>
      <w:hyperlink r:id="rId82" w:history="1">
        <w:r w:rsidR="00306F9F" w:rsidRPr="00F00D94">
          <w:rPr>
            <w:rStyle w:val="Hyperlink"/>
            <w:rFonts w:ascii="Arial" w:hAnsi="Arial" w:cs="Arial"/>
            <w:sz w:val="20"/>
          </w:rPr>
          <w:t>03</w:t>
        </w:r>
      </w:hyperlink>
      <w:r w:rsidR="00306F9F" w:rsidRPr="00F00D94">
        <w:rPr>
          <w:rFonts w:ascii="Arial" w:hAnsi="Arial" w:cs="Arial"/>
          <w:sz w:val="20"/>
        </w:rPr>
        <w:t xml:space="preserve">, </w:t>
      </w:r>
      <w:hyperlink r:id="rId83" w:history="1">
        <w:r w:rsidR="00306F9F" w:rsidRPr="00F00D94">
          <w:rPr>
            <w:rStyle w:val="Hyperlink"/>
            <w:rFonts w:ascii="Arial" w:hAnsi="Arial" w:cs="Arial"/>
            <w:sz w:val="20"/>
          </w:rPr>
          <w:t>15</w:t>
        </w:r>
      </w:hyperlink>
      <w:r w:rsidR="00306F9F" w:rsidRPr="00F00D94">
        <w:rPr>
          <w:rFonts w:ascii="Arial" w:hAnsi="Arial" w:cs="Arial"/>
          <w:sz w:val="20"/>
        </w:rPr>
        <w:t xml:space="preserve">, </w:t>
      </w:r>
      <w:hyperlink r:id="rId84" w:history="1">
        <w:r w:rsidR="00306F9F" w:rsidRPr="00F00D94">
          <w:rPr>
            <w:rStyle w:val="Hyperlink"/>
            <w:rFonts w:ascii="Arial" w:hAnsi="Arial" w:cs="Arial"/>
            <w:sz w:val="20"/>
          </w:rPr>
          <w:t>44</w:t>
        </w:r>
      </w:hyperlink>
      <w:r w:rsidR="00BD239F" w:rsidRPr="00F00D94">
        <w:rPr>
          <w:rFonts w:ascii="Arial" w:hAnsi="Arial" w:cs="Arial"/>
          <w:sz w:val="20"/>
        </w:rPr>
        <w:t xml:space="preserve"> and the clauses at</w:t>
      </w:r>
      <w:r w:rsidR="00306F9F" w:rsidRPr="00F00D94">
        <w:rPr>
          <w:rFonts w:ascii="Arial" w:hAnsi="Arial" w:cs="Arial"/>
          <w:sz w:val="20"/>
        </w:rPr>
        <w:t xml:space="preserve"> </w:t>
      </w:r>
      <w:hyperlink r:id="rId85" w:history="1">
        <w:r w:rsidR="000023A2" w:rsidRPr="00F00D94">
          <w:rPr>
            <w:rStyle w:val="Hyperlink"/>
            <w:rFonts w:ascii="Arial" w:hAnsi="Arial" w:cs="Arial"/>
            <w:sz w:val="20"/>
          </w:rPr>
          <w:t>48 CFR 52.244-2</w:t>
        </w:r>
      </w:hyperlink>
      <w:r w:rsidRPr="00F00D94">
        <w:rPr>
          <w:rFonts w:ascii="Arial" w:hAnsi="Arial" w:cs="Arial"/>
          <w:sz w:val="20"/>
        </w:rPr>
        <w:t xml:space="preserve">, </w:t>
      </w:r>
      <w:hyperlink r:id="rId86" w:history="1">
        <w:r w:rsidR="00306F9F" w:rsidRPr="00F00D94">
          <w:rPr>
            <w:rStyle w:val="Hyperlink"/>
            <w:rFonts w:ascii="Arial" w:hAnsi="Arial" w:cs="Arial"/>
            <w:sz w:val="20"/>
          </w:rPr>
          <w:t>52.244-5</w:t>
        </w:r>
      </w:hyperlink>
      <w:r w:rsidRPr="00F00D94">
        <w:rPr>
          <w:rFonts w:ascii="Arial" w:hAnsi="Arial" w:cs="Arial"/>
          <w:sz w:val="20"/>
        </w:rPr>
        <w:t xml:space="preserve">, </w:t>
      </w:r>
      <w:hyperlink r:id="rId87" w:history="1">
        <w:r w:rsidR="00306F9F" w:rsidRPr="00F00D94">
          <w:rPr>
            <w:rStyle w:val="Hyperlink"/>
            <w:rFonts w:ascii="Arial" w:hAnsi="Arial" w:cs="Arial"/>
            <w:sz w:val="20"/>
          </w:rPr>
          <w:t>52.203-13</w:t>
        </w:r>
      </w:hyperlink>
      <w:r w:rsidRPr="00F00D94">
        <w:rPr>
          <w:rFonts w:ascii="Arial" w:hAnsi="Arial" w:cs="Arial"/>
          <w:sz w:val="20"/>
        </w:rPr>
        <w:t xml:space="preserve">, </w:t>
      </w:r>
      <w:hyperlink r:id="rId88" w:history="1">
        <w:r w:rsidR="00306F9F" w:rsidRPr="00F00D94">
          <w:rPr>
            <w:rStyle w:val="Hyperlink"/>
            <w:rFonts w:ascii="Arial" w:hAnsi="Arial" w:cs="Arial"/>
            <w:sz w:val="20"/>
          </w:rPr>
          <w:t>52.203-16</w:t>
        </w:r>
      </w:hyperlink>
      <w:r w:rsidRPr="00F00D94">
        <w:rPr>
          <w:rFonts w:ascii="Arial" w:hAnsi="Arial" w:cs="Arial"/>
          <w:sz w:val="20"/>
        </w:rPr>
        <w:t xml:space="preserve">, and </w:t>
      </w:r>
      <w:hyperlink r:id="rId89" w:history="1">
        <w:r w:rsidR="001F0D3F" w:rsidRPr="00F00D94">
          <w:rPr>
            <w:rStyle w:val="Hyperlink"/>
            <w:rFonts w:ascii="Arial" w:hAnsi="Arial" w:cs="Arial"/>
            <w:sz w:val="20"/>
          </w:rPr>
          <w:t>52.215-</w:t>
        </w:r>
        <w:r w:rsidR="00306F9F" w:rsidRPr="00F00D94">
          <w:rPr>
            <w:rStyle w:val="Hyperlink"/>
            <w:rFonts w:ascii="Arial" w:hAnsi="Arial" w:cs="Arial"/>
            <w:sz w:val="20"/>
          </w:rPr>
          <w:t>12</w:t>
        </w:r>
      </w:hyperlink>
      <w:r w:rsidR="00EE0D0A" w:rsidRPr="00F00D94">
        <w:rPr>
          <w:rFonts w:ascii="Arial" w:hAnsi="Arial" w:cs="Arial"/>
          <w:sz w:val="20"/>
        </w:rPr>
        <w:t>; agency FAR Supplements;</w:t>
      </w:r>
      <w:r w:rsidRPr="00F00D94">
        <w:rPr>
          <w:rFonts w:ascii="Arial" w:hAnsi="Arial" w:cs="Arial"/>
          <w:sz w:val="20"/>
        </w:rPr>
        <w:t xml:space="preserve"> and the terms and conditions of the contract.</w:t>
      </w:r>
    </w:p>
    <w:p w14:paraId="2AFC18CE" w14:textId="7EE8544E"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9C2A3E" w:rsidRPr="00F00D94">
        <w:rPr>
          <w:rFonts w:ascii="Arial" w:hAnsi="Arial" w:cs="Arial"/>
          <w:i/>
          <w:sz w:val="20"/>
        </w:rPr>
        <w:t>202</w:t>
      </w:r>
      <w:r w:rsidR="008A5757" w:rsidRPr="00F00D94">
        <w:rPr>
          <w:rFonts w:ascii="Arial" w:hAnsi="Arial" w:cs="Arial"/>
          <w:i/>
          <w:sz w:val="20"/>
        </w:rPr>
        <w:t>2</w:t>
      </w:r>
      <w:r w:rsidR="009C2A3E"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F11D09" w:rsidRPr="00F00D94">
        <w:rPr>
          <w:rFonts w:ascii="Arial" w:hAnsi="Arial" w:cs="Arial"/>
          <w:i/>
          <w:sz w:val="20"/>
        </w:rPr>
        <w:t xml:space="preserve">Part </w:t>
      </w:r>
      <w:r w:rsidRPr="00F00D94">
        <w:rPr>
          <w:rFonts w:ascii="Arial" w:hAnsi="Arial" w:cs="Arial"/>
          <w:i/>
          <w:sz w:val="20"/>
        </w:rPr>
        <w:t>3)</w:t>
      </w:r>
    </w:p>
    <w:p w14:paraId="71D60311" w14:textId="77777777" w:rsidR="000E4967" w:rsidRPr="00F00D94" w:rsidRDefault="000E4967" w:rsidP="006672EA">
      <w:pPr>
        <w:spacing w:after="240"/>
        <w:jc w:val="both"/>
        <w:rPr>
          <w:rFonts w:ascii="Arial" w:hAnsi="Arial" w:cs="Arial"/>
          <w:b/>
          <w:szCs w:val="24"/>
        </w:rPr>
      </w:pPr>
      <w:r w:rsidRPr="00F00D94">
        <w:rPr>
          <w:rFonts w:ascii="Arial" w:hAnsi="Arial" w:cs="Arial"/>
          <w:b/>
          <w:szCs w:val="24"/>
        </w:rPr>
        <w:t>Agency Codification Adjustments/Exceptions:</w:t>
      </w:r>
    </w:p>
    <w:p w14:paraId="42B2674B"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90"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91"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3D8DAEE" w14:textId="77777777" w:rsidR="00DC3468" w:rsidRPr="00F00D94" w:rsidRDefault="004655E0" w:rsidP="006672EA">
      <w:pPr>
        <w:pStyle w:val="Heading3"/>
        <w:jc w:val="both"/>
        <w:rPr>
          <w:rFonts w:cs="Arial"/>
        </w:rPr>
      </w:pPr>
      <w:bookmarkStart w:id="54" w:name="_Toc115942625"/>
      <w:r w:rsidRPr="00F00D94">
        <w:rPr>
          <w:rFonts w:cs="Arial"/>
        </w:rPr>
        <w:t xml:space="preserve">OMB </w:t>
      </w:r>
      <w:r w:rsidR="00DC3468" w:rsidRPr="00F00D94">
        <w:rPr>
          <w:rFonts w:cs="Arial"/>
        </w:rPr>
        <w:t>Compliance Requirements – Suspension and Debarment</w:t>
      </w:r>
      <w:bookmarkEnd w:id="54"/>
    </w:p>
    <w:p w14:paraId="315384B3" w14:textId="223279F7" w:rsidR="00AB4F7E" w:rsidRPr="00F00D94" w:rsidRDefault="00AB4F7E" w:rsidP="006672EA">
      <w:pPr>
        <w:tabs>
          <w:tab w:val="left" w:pos="-1440"/>
        </w:tabs>
        <w:spacing w:after="240"/>
        <w:jc w:val="both"/>
        <w:rPr>
          <w:rFonts w:ascii="Arial" w:hAnsi="Arial" w:cs="Arial"/>
          <w:b/>
          <w:sz w:val="20"/>
        </w:rPr>
      </w:pPr>
      <w:r w:rsidRPr="00F00D94">
        <w:rPr>
          <w:rFonts w:ascii="Arial" w:hAnsi="Arial" w:cs="Arial"/>
          <w:b/>
          <w:sz w:val="20"/>
        </w:rPr>
        <w:t xml:space="preserve">Auditors will need to review Appendix II in the link under Source of Governing requirements to determine where the agency codified 2 CFR </w:t>
      </w:r>
      <w:r w:rsidR="00411A44" w:rsidRPr="00F00D94">
        <w:rPr>
          <w:rFonts w:ascii="Arial" w:hAnsi="Arial" w:cs="Arial"/>
          <w:b/>
          <w:sz w:val="20"/>
        </w:rPr>
        <w:t xml:space="preserve">Part </w:t>
      </w:r>
      <w:r w:rsidRPr="00F00D94">
        <w:rPr>
          <w:rFonts w:ascii="Arial" w:hAnsi="Arial" w:cs="Arial"/>
          <w:b/>
          <w:sz w:val="20"/>
        </w:rPr>
        <w:t xml:space="preserve">180.  Citations of non-compliance must start with the agencies codification of 2 CFR </w:t>
      </w:r>
      <w:r w:rsidR="00411A44" w:rsidRPr="00F00D94">
        <w:rPr>
          <w:rFonts w:ascii="Arial" w:hAnsi="Arial" w:cs="Arial"/>
          <w:b/>
          <w:sz w:val="20"/>
        </w:rPr>
        <w:t>P</w:t>
      </w:r>
      <w:r w:rsidRPr="00F00D94">
        <w:rPr>
          <w:rFonts w:ascii="Arial" w:hAnsi="Arial" w:cs="Arial"/>
          <w:b/>
          <w:sz w:val="20"/>
        </w:rPr>
        <w:t>art 180.</w:t>
      </w:r>
    </w:p>
    <w:p w14:paraId="6C168F41" w14:textId="62E641FA" w:rsidR="00DC3468" w:rsidRPr="00F00D94" w:rsidRDefault="00DC3468" w:rsidP="006672EA">
      <w:pPr>
        <w:tabs>
          <w:tab w:val="left" w:pos="-1440"/>
        </w:tabs>
        <w:spacing w:after="240"/>
        <w:jc w:val="both"/>
        <w:rPr>
          <w:rFonts w:ascii="Arial" w:hAnsi="Arial" w:cs="Arial"/>
          <w:sz w:val="20"/>
        </w:rPr>
      </w:pPr>
      <w:r w:rsidRPr="00F00D94">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92" w:history="1">
        <w:r w:rsidR="000023A2" w:rsidRPr="00F00D94">
          <w:rPr>
            <w:rStyle w:val="Hyperlink"/>
            <w:rFonts w:ascii="Arial" w:hAnsi="Arial" w:cs="Arial"/>
            <w:sz w:val="20"/>
          </w:rPr>
          <w:t>2 CFR 180.220</w:t>
        </w:r>
      </w:hyperlink>
      <w:r w:rsidRPr="00F00D94">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93" w:history="1">
        <w:r w:rsidR="000023A2" w:rsidRPr="00F00D94">
          <w:rPr>
            <w:rStyle w:val="Hyperlink"/>
            <w:rFonts w:ascii="Arial" w:hAnsi="Arial" w:cs="Arial"/>
            <w:sz w:val="20"/>
          </w:rPr>
          <w:t>2 CFR 180.215</w:t>
        </w:r>
      </w:hyperlink>
      <w:r w:rsidRPr="00F00D94">
        <w:rPr>
          <w:rFonts w:ascii="Arial" w:hAnsi="Arial" w:cs="Arial"/>
          <w:sz w:val="20"/>
        </w:rPr>
        <w:t>.</w:t>
      </w:r>
    </w:p>
    <w:p w14:paraId="3882B4B6" w14:textId="609D08A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When a non-Federal entity enters into a covered transaction with an entity at a lower tier, the non-Federal entity must verify that the entity, as defined in </w:t>
      </w:r>
      <w:hyperlink r:id="rId94" w:history="1">
        <w:r w:rsidR="000023A2" w:rsidRPr="00F00D94">
          <w:rPr>
            <w:rStyle w:val="Hyperlink"/>
            <w:rFonts w:ascii="Arial" w:hAnsi="Arial" w:cs="Arial"/>
            <w:sz w:val="20"/>
          </w:rPr>
          <w:t>2 CFR 180.995</w:t>
        </w:r>
      </w:hyperlink>
      <w:r w:rsidRPr="00F00D94">
        <w:rPr>
          <w:rFonts w:ascii="Arial" w:hAnsi="Arial" w:cs="Arial"/>
          <w:sz w:val="20"/>
        </w:rPr>
        <w:t xml:space="preserve"> and agency adopting regulations, is not suspended or debarred or otherwise excluded from participating in the transaction.  This verification may be accomplished by (1) checking the </w:t>
      </w:r>
      <w:r w:rsidRPr="00F00D94">
        <w:rPr>
          <w:rFonts w:ascii="Arial" w:hAnsi="Arial" w:cs="Arial"/>
          <w:iCs/>
          <w:sz w:val="20"/>
        </w:rPr>
        <w:t>System</w:t>
      </w:r>
      <w:r w:rsidR="00F11D09" w:rsidRPr="00F00D94">
        <w:rPr>
          <w:rFonts w:ascii="Arial" w:hAnsi="Arial" w:cs="Arial"/>
          <w:iCs/>
          <w:sz w:val="20"/>
        </w:rPr>
        <w:t xml:space="preserve"> for</w:t>
      </w:r>
      <w:r w:rsidR="00F11D09" w:rsidRPr="00F00D94">
        <w:rPr>
          <w:rFonts w:ascii="Arial" w:hAnsi="Arial" w:cs="Arial"/>
          <w:sz w:val="20"/>
        </w:rPr>
        <w:t xml:space="preserve"> Award Management (SAM) Exclusions</w:t>
      </w:r>
      <w:r w:rsidRPr="00F00D94">
        <w:rPr>
          <w:rFonts w:ascii="Arial" w:hAnsi="Arial" w:cs="Arial"/>
          <w:sz w:val="20"/>
        </w:rPr>
        <w:t xml:space="preserve"> maintained by the </w:t>
      </w:r>
      <w:r w:rsidRPr="00F00D94">
        <w:rPr>
          <w:rFonts w:ascii="Arial" w:hAnsi="Arial" w:cs="Arial"/>
          <w:sz w:val="20"/>
        </w:rPr>
        <w:lastRenderedPageBreak/>
        <w:t>General Services Administration (GSA) and available at</w:t>
      </w:r>
      <w:r w:rsidRPr="00F00D94">
        <w:rPr>
          <w:rFonts w:ascii="Arial" w:hAnsi="Arial" w:cs="Arial"/>
          <w:color w:val="0000FF"/>
          <w:sz w:val="20"/>
        </w:rPr>
        <w:t xml:space="preserve"> </w:t>
      </w:r>
      <w:hyperlink r:id="rId95" w:history="1">
        <w:r w:rsidR="00A57036" w:rsidRPr="00F00D94">
          <w:rPr>
            <w:rStyle w:val="Hyperlink"/>
            <w:rFonts w:ascii="Arial" w:hAnsi="Arial" w:cs="Arial"/>
            <w:sz w:val="20"/>
            <w:u w:color="0000FF"/>
          </w:rPr>
          <w:t>https://www.sam.gov/</w:t>
        </w:r>
      </w:hyperlink>
      <w:r w:rsidR="00F11D09" w:rsidRPr="00F00D94">
        <w:rPr>
          <w:rFonts w:ascii="Arial" w:hAnsi="Arial" w:cs="Arial"/>
          <w:color w:val="0000FF"/>
          <w:sz w:val="20"/>
        </w:rPr>
        <w:t xml:space="preserve"> </w:t>
      </w:r>
      <w:r w:rsidR="00F11D09" w:rsidRPr="00F00D94">
        <w:rPr>
          <w:rFonts w:ascii="Arial" w:hAnsi="Arial" w:cs="Arial"/>
          <w:sz w:val="20"/>
        </w:rPr>
        <w:t>(click on Search Record, then click on</w:t>
      </w:r>
      <w:r w:rsidR="00F11D09" w:rsidRPr="00F00D94">
        <w:rPr>
          <w:rFonts w:ascii="Arial" w:hAnsi="Arial" w:cs="Arial"/>
          <w:spacing w:val="-16"/>
          <w:sz w:val="20"/>
        </w:rPr>
        <w:t xml:space="preserve"> </w:t>
      </w:r>
      <w:r w:rsidR="00F11D09" w:rsidRPr="00F00D94">
        <w:rPr>
          <w:rFonts w:ascii="Arial" w:hAnsi="Arial" w:cs="Arial"/>
          <w:sz w:val="20"/>
        </w:rPr>
        <w:t>Advanced Search-Exclusions) (</w:t>
      </w:r>
      <w:r w:rsidR="00F11D09" w:rsidRPr="00F00D94">
        <w:rPr>
          <w:rFonts w:ascii="Arial" w:hAnsi="Arial" w:cs="Arial"/>
          <w:b/>
          <w:sz w:val="20"/>
        </w:rPr>
        <w:t xml:space="preserve">Note: </w:t>
      </w:r>
      <w:r w:rsidR="00F11D09" w:rsidRPr="00F00D94">
        <w:rPr>
          <w:rFonts w:ascii="Arial" w:hAnsi="Arial" w:cs="Arial"/>
          <w:sz w:val="20"/>
        </w:rPr>
        <w:t xml:space="preserve">The OMB guidance at 2 CFR part 180 and agency implementing regulations still refer to the SAM Exclusions as the Excluded Parties List System (EPLS)), </w:t>
      </w:r>
      <w:r w:rsidRPr="00F00D94">
        <w:rPr>
          <w:rFonts w:ascii="Arial" w:hAnsi="Arial" w:cs="Arial"/>
          <w:sz w:val="20"/>
        </w:rPr>
        <w:t xml:space="preserve"> (2) collecting a certification from the entity, or (3) adding a clause or condition to the covered transaction with that entity (</w:t>
      </w:r>
      <w:hyperlink r:id="rId96" w:history="1">
        <w:r w:rsidR="000023A2" w:rsidRPr="00F00D94">
          <w:rPr>
            <w:rStyle w:val="Hyperlink"/>
            <w:rFonts w:ascii="Arial" w:hAnsi="Arial" w:cs="Arial"/>
            <w:sz w:val="20"/>
          </w:rPr>
          <w:t>2 CFR 180.300</w:t>
        </w:r>
      </w:hyperlink>
      <w:r w:rsidRPr="00F00D94">
        <w:rPr>
          <w:rFonts w:ascii="Arial" w:hAnsi="Arial" w:cs="Arial"/>
          <w:sz w:val="20"/>
        </w:rPr>
        <w:t xml:space="preserve">).  </w:t>
      </w:r>
    </w:p>
    <w:p w14:paraId="095B8CF4" w14:textId="0360F8A9"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receiving contracts from the Federal Government are required to comply with the contract clause at </w:t>
      </w:r>
      <w:hyperlink r:id="rId97" w:history="1">
        <w:r w:rsidR="00A94ECF" w:rsidRPr="00F00D94">
          <w:rPr>
            <w:rStyle w:val="Hyperlink"/>
            <w:rFonts w:ascii="Arial" w:hAnsi="Arial" w:cs="Arial"/>
            <w:sz w:val="20"/>
          </w:rPr>
          <w:t>48 CFR 52.209-6</w:t>
        </w:r>
      </w:hyperlink>
      <w:r w:rsidRPr="00F00D94">
        <w:rPr>
          <w:rFonts w:ascii="Arial" w:hAnsi="Arial" w:cs="Arial"/>
          <w:sz w:val="20"/>
        </w:rPr>
        <w:t xml:space="preserve"> before entering into a subcontract that will exceed $30,000, other than a subcontract for a commercially available off-the-shelf item.</w:t>
      </w:r>
    </w:p>
    <w:p w14:paraId="183B1029" w14:textId="77777777"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 – Suspension and Debarment</w:t>
      </w:r>
    </w:p>
    <w:p w14:paraId="2CE7AC1E" w14:textId="69F4A3AA" w:rsidR="00A67D16"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nonprocurement suspension and debarment are contained in OMB guidance in </w:t>
      </w:r>
      <w:hyperlink r:id="rId98" w:history="1">
        <w:r w:rsidR="00750529" w:rsidRPr="00F00D94">
          <w:rPr>
            <w:rStyle w:val="Hyperlink"/>
            <w:rFonts w:ascii="Arial" w:hAnsi="Arial" w:cs="Arial"/>
            <w:sz w:val="20"/>
          </w:rPr>
          <w:t>2 CFR Part 180</w:t>
        </w:r>
      </w:hyperlink>
      <w:r w:rsidRPr="00F00D94">
        <w:rPr>
          <w:rFonts w:ascii="Arial" w:hAnsi="Arial" w:cs="Arial"/>
          <w:sz w:val="20"/>
        </w:rPr>
        <w:t xml:space="preserve">, which implements Executive Orders 12549 and 12689, </w:t>
      </w:r>
      <w:r w:rsidR="007323BE" w:rsidRPr="00F00D94">
        <w:rPr>
          <w:rFonts w:ascii="Arial" w:hAnsi="Arial" w:cs="Arial"/>
          <w:sz w:val="20"/>
        </w:rPr>
        <w:t>“</w:t>
      </w:r>
      <w:r w:rsidRPr="00F00D94">
        <w:rPr>
          <w:rFonts w:ascii="Arial" w:hAnsi="Arial" w:cs="Arial"/>
          <w:sz w:val="20"/>
        </w:rPr>
        <w:t>Debarment and Suspension;</w:t>
      </w:r>
      <w:r w:rsidR="007323BE" w:rsidRPr="00F00D94">
        <w:rPr>
          <w:rFonts w:ascii="Arial" w:hAnsi="Arial" w:cs="Arial"/>
          <w:sz w:val="20"/>
        </w:rPr>
        <w:t>”</w:t>
      </w:r>
      <w:r w:rsidRPr="00F00D94">
        <w:rPr>
          <w:rFonts w:ascii="Arial" w:hAnsi="Arial" w:cs="Arial"/>
          <w:sz w:val="20"/>
        </w:rPr>
        <w:t xml:space="preserve"> Federal awarding agency regulations in </w:t>
      </w:r>
      <w:r w:rsidR="007C0BFC" w:rsidRPr="00F00D94">
        <w:rPr>
          <w:rFonts w:ascii="Arial" w:hAnsi="Arial" w:cs="Arial"/>
          <w:sz w:val="20"/>
        </w:rPr>
        <w:t xml:space="preserve">Title 2 of the </w:t>
      </w:r>
      <w:r w:rsidRPr="00F00D94">
        <w:rPr>
          <w:rFonts w:ascii="Arial" w:hAnsi="Arial" w:cs="Arial"/>
          <w:sz w:val="20"/>
        </w:rPr>
        <w:t>CFR adopting</w:t>
      </w:r>
      <w:r w:rsidR="007C0BFC" w:rsidRPr="00F00D94">
        <w:rPr>
          <w:rFonts w:ascii="Arial" w:hAnsi="Arial" w:cs="Arial"/>
          <w:sz w:val="20"/>
        </w:rPr>
        <w:t>/implementing</w:t>
      </w:r>
      <w:r w:rsidRPr="00F00D94">
        <w:rPr>
          <w:rFonts w:ascii="Arial" w:hAnsi="Arial" w:cs="Arial"/>
          <w:sz w:val="20"/>
        </w:rPr>
        <w:t xml:space="preserve"> the OMB guidance in 2 CFR </w:t>
      </w:r>
      <w:r w:rsidR="000023A2" w:rsidRPr="00F00D94">
        <w:rPr>
          <w:rFonts w:ascii="Arial" w:hAnsi="Arial" w:cs="Arial"/>
          <w:sz w:val="20"/>
        </w:rPr>
        <w:t>P</w:t>
      </w:r>
      <w:r w:rsidRPr="00F00D94">
        <w:rPr>
          <w:rFonts w:ascii="Arial" w:hAnsi="Arial" w:cs="Arial"/>
          <w:sz w:val="20"/>
        </w:rPr>
        <w:t xml:space="preserve">art 180; program legislation; and the terms and conditions of the award.  </w:t>
      </w:r>
    </w:p>
    <w:p w14:paraId="4EC2CFB7" w14:textId="379D69C9"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Most of the Federal agencies have adopted</w:t>
      </w:r>
      <w:r w:rsidR="007C0BFC" w:rsidRPr="00F00D94">
        <w:rPr>
          <w:rFonts w:ascii="Arial" w:hAnsi="Arial" w:cs="Arial"/>
          <w:sz w:val="20"/>
        </w:rPr>
        <w:t xml:space="preserve"> or implemented</w:t>
      </w:r>
      <w:r w:rsidRPr="00F00D94">
        <w:rPr>
          <w:rFonts w:ascii="Arial" w:hAnsi="Arial" w:cs="Arial"/>
          <w:sz w:val="20"/>
        </w:rPr>
        <w:t xml:space="preserve"> 2 CFR </w:t>
      </w:r>
      <w:r w:rsidR="000023A2" w:rsidRPr="00F00D94">
        <w:rPr>
          <w:rFonts w:ascii="Arial" w:hAnsi="Arial" w:cs="Arial"/>
          <w:sz w:val="20"/>
        </w:rPr>
        <w:t>P</w:t>
      </w:r>
      <w:r w:rsidRPr="00F00D94">
        <w:rPr>
          <w:rFonts w:ascii="Arial" w:hAnsi="Arial" w:cs="Arial"/>
          <w:sz w:val="20"/>
        </w:rPr>
        <w:t>art 180</w:t>
      </w:r>
      <w:r w:rsidR="00EE0D0A" w:rsidRPr="00F00D94">
        <w:rPr>
          <w:rFonts w:ascii="Arial" w:hAnsi="Arial" w:cs="Arial"/>
          <w:sz w:val="20"/>
        </w:rPr>
        <w:t>, generally by relocating</w:t>
      </w:r>
      <w:r w:rsidRPr="00F00D94">
        <w:rPr>
          <w:rFonts w:ascii="Arial" w:hAnsi="Arial" w:cs="Arial"/>
          <w:sz w:val="20"/>
        </w:rPr>
        <w:t xml:space="preserve"> their associated agency rules in Tit</w:t>
      </w:r>
      <w:r w:rsidR="00155515" w:rsidRPr="00F00D94">
        <w:rPr>
          <w:rFonts w:ascii="Arial" w:hAnsi="Arial" w:cs="Arial"/>
          <w:sz w:val="20"/>
        </w:rPr>
        <w:t>le 2 of the CFR.</w:t>
      </w:r>
      <w:r w:rsidR="007C0BFC" w:rsidRPr="00F00D94">
        <w:rPr>
          <w:rFonts w:ascii="Arial" w:hAnsi="Arial" w:cs="Arial"/>
          <w:sz w:val="20"/>
        </w:rPr>
        <w:t xml:space="preserve"> </w:t>
      </w:r>
      <w:hyperlink r:id="rId99" w:history="1">
        <w:r w:rsidR="007C0BFC" w:rsidRPr="00F00D94">
          <w:rPr>
            <w:rStyle w:val="Hyperlink"/>
            <w:rFonts w:ascii="Arial" w:hAnsi="Arial" w:cs="Arial"/>
            <w:sz w:val="20"/>
          </w:rPr>
          <w:t>Appendix II to</w:t>
        </w:r>
        <w:r w:rsidRPr="00F00D94">
          <w:rPr>
            <w:rStyle w:val="Hyperlink"/>
            <w:rFonts w:ascii="Arial" w:hAnsi="Arial" w:cs="Arial"/>
            <w:sz w:val="20"/>
          </w:rPr>
          <w:t xml:space="preserve"> the Supplement</w:t>
        </w:r>
      </w:hyperlink>
      <w:r w:rsidRPr="00F00D94">
        <w:rPr>
          <w:rFonts w:ascii="Arial" w:hAnsi="Arial" w:cs="Arial"/>
          <w:sz w:val="20"/>
        </w:rPr>
        <w:t xml:space="preserve"> includes the current CFR citations for all agencies</w:t>
      </w:r>
      <w:r w:rsidR="00EE0D0A" w:rsidRPr="00F00D94">
        <w:rPr>
          <w:rFonts w:ascii="Arial" w:hAnsi="Arial" w:cs="Arial"/>
          <w:sz w:val="20"/>
        </w:rPr>
        <w:t xml:space="preserve"> adoption or implementation of the nonprocurement suspension and debarment guidance</w:t>
      </w:r>
      <w:r w:rsidRPr="00F00D94">
        <w:rPr>
          <w:rFonts w:ascii="Arial" w:hAnsi="Arial" w:cs="Arial"/>
          <w:sz w:val="20"/>
        </w:rPr>
        <w:t xml:space="preserve">.  </w:t>
      </w:r>
    </w:p>
    <w:p w14:paraId="22A79100" w14:textId="30A27DF1" w:rsidR="00DC3468" w:rsidRPr="00F00D94" w:rsidRDefault="00DC3468" w:rsidP="006672EA">
      <w:pPr>
        <w:spacing w:after="240"/>
        <w:jc w:val="both"/>
        <w:rPr>
          <w:rFonts w:ascii="Arial" w:hAnsi="Arial" w:cs="Arial"/>
          <w:sz w:val="20"/>
        </w:rPr>
      </w:pPr>
      <w:r w:rsidRPr="00F00D94">
        <w:rPr>
          <w:rFonts w:ascii="Arial" w:hAnsi="Arial" w:cs="Arial"/>
          <w:sz w:val="20"/>
        </w:rPr>
        <w:t>Government-wide requirements related to suspension and debarment and doing business with suspended or debarred subcontractors under cost reimbursement contract</w:t>
      </w:r>
      <w:r w:rsidR="007323BE" w:rsidRPr="00F00D94">
        <w:rPr>
          <w:rFonts w:ascii="Arial" w:hAnsi="Arial" w:cs="Arial"/>
          <w:sz w:val="20"/>
        </w:rPr>
        <w:t>s</w:t>
      </w:r>
      <w:r w:rsidRPr="00F00D94">
        <w:rPr>
          <w:rFonts w:ascii="Arial" w:hAnsi="Arial" w:cs="Arial"/>
          <w:sz w:val="20"/>
        </w:rPr>
        <w:t xml:space="preserve"> under the FAR</w:t>
      </w:r>
      <w:r w:rsidR="006F1440" w:rsidRPr="00F00D94">
        <w:rPr>
          <w:rFonts w:ascii="Arial" w:hAnsi="Arial" w:cs="Arial"/>
          <w:sz w:val="20"/>
        </w:rPr>
        <w:t xml:space="preserve"> are contained in </w:t>
      </w:r>
      <w:hyperlink r:id="rId100" w:history="1">
        <w:r w:rsidR="000023A2" w:rsidRPr="00F00D94">
          <w:rPr>
            <w:rStyle w:val="Hyperlink"/>
            <w:rFonts w:ascii="Arial" w:hAnsi="Arial" w:cs="Arial"/>
            <w:sz w:val="20"/>
          </w:rPr>
          <w:t>48 CFR 9.405-2(b)</w:t>
        </w:r>
      </w:hyperlink>
      <w:r w:rsidR="006F1440" w:rsidRPr="00F00D94">
        <w:rPr>
          <w:rFonts w:ascii="Arial" w:hAnsi="Arial" w:cs="Arial"/>
          <w:sz w:val="20"/>
        </w:rPr>
        <w:t xml:space="preserve"> and the clause at </w:t>
      </w:r>
      <w:hyperlink r:id="rId101" w:history="1">
        <w:r w:rsidR="000023A2" w:rsidRPr="00F00D94">
          <w:rPr>
            <w:rStyle w:val="Hyperlink"/>
            <w:rFonts w:ascii="Arial" w:hAnsi="Arial" w:cs="Arial"/>
            <w:sz w:val="20"/>
          </w:rPr>
          <w:t>48 CFR 52.209-6</w:t>
        </w:r>
      </w:hyperlink>
      <w:r w:rsidRPr="00F00D94">
        <w:rPr>
          <w:rFonts w:ascii="Arial" w:hAnsi="Arial" w:cs="Arial"/>
          <w:sz w:val="20"/>
        </w:rPr>
        <w:t>.</w:t>
      </w:r>
    </w:p>
    <w:p w14:paraId="1576145B" w14:textId="64C644E4" w:rsidR="00E3303A"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353290"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6DF7B236" w14:textId="30918648"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6E196ADF" w14:textId="6E77B84F" w:rsidR="005E2F07" w:rsidRPr="005E2F07" w:rsidRDefault="005E2F07" w:rsidP="005E2F07">
      <w:pPr>
        <w:pStyle w:val="ListParagraph"/>
        <w:numPr>
          <w:ilvl w:val="1"/>
          <w:numId w:val="65"/>
        </w:numPr>
        <w:spacing w:after="240"/>
        <w:ind w:left="360"/>
        <w:jc w:val="both"/>
        <w:rPr>
          <w:rFonts w:ascii="Arial" w:hAnsi="Arial" w:cs="Arial"/>
          <w:b/>
          <w:bCs/>
        </w:rPr>
      </w:pPr>
      <w:r w:rsidRPr="005E2F07">
        <w:rPr>
          <w:rFonts w:ascii="Arial" w:hAnsi="Arial" w:cs="Arial"/>
          <w:b/>
          <w:bCs/>
        </w:rPr>
        <w:t>Procurement</w:t>
      </w:r>
    </w:p>
    <w:p w14:paraId="43DE927B" w14:textId="12F97F58" w:rsidR="005E2F07" w:rsidRPr="005E2F07" w:rsidRDefault="005E2F07" w:rsidP="005E2F07">
      <w:pPr>
        <w:spacing w:after="240"/>
        <w:ind w:left="360"/>
        <w:jc w:val="both"/>
        <w:rPr>
          <w:rFonts w:ascii="Arial" w:hAnsi="Arial" w:cs="Arial"/>
          <w:bCs/>
          <w:sz w:val="20"/>
        </w:rPr>
      </w:pPr>
      <w:r w:rsidRPr="005E2F07">
        <w:rPr>
          <w:rFonts w:ascii="Arial" w:hAnsi="Arial" w:cs="Arial"/>
          <w:bCs/>
          <w:sz w:val="20"/>
        </w:rPr>
        <w:t>Recipients may use award funds to enter into contracts to procure goods and services necessary to implement one or more of the eligible purposes outlined in sections 602(c) and 603(c) of the Act and Treasury’s Interim Final Rule and Final Rule. As such, recipients are expected to have procurement policies and procedures in place that comply with the procurement standards outlined in the Uniform Guidance. Specifically, a state must follow the same policies and procedures it uses for procurements from its non-federal funds and comply with 2 CFR sections 200.321, 200.322, and 200.323. States must also ensure that every contract includes the applicable contract clauses required by 2 CFR section</w:t>
      </w:r>
      <w:r>
        <w:rPr>
          <w:rFonts w:ascii="Arial" w:hAnsi="Arial" w:cs="Arial"/>
          <w:bCs/>
          <w:sz w:val="20"/>
        </w:rPr>
        <w:t xml:space="preserve"> </w:t>
      </w:r>
      <w:r w:rsidRPr="005E2F07">
        <w:rPr>
          <w:rFonts w:ascii="Arial" w:hAnsi="Arial" w:cs="Arial"/>
          <w:bCs/>
          <w:sz w:val="20"/>
        </w:rPr>
        <w:t>200.327. All other entities under the program, including subrecipients of a state, must follow the procurement standards in 2 CFR sections 200.318 through 200.327, including ensuring that the procurement method used for the contracts are appropriate based on the dollar amount and conditions specified in 2 CFR section 200.320.</w:t>
      </w:r>
    </w:p>
    <w:p w14:paraId="20DE9134" w14:textId="7829AF89" w:rsidR="005E2F07" w:rsidRPr="005E2F07" w:rsidRDefault="005E2F07" w:rsidP="005E2F07">
      <w:pPr>
        <w:pStyle w:val="ListParagraph"/>
        <w:numPr>
          <w:ilvl w:val="1"/>
          <w:numId w:val="65"/>
        </w:numPr>
        <w:spacing w:after="240"/>
        <w:ind w:left="360"/>
        <w:jc w:val="both"/>
        <w:rPr>
          <w:rFonts w:ascii="Arial" w:hAnsi="Arial" w:cs="Arial"/>
          <w:b/>
          <w:bCs/>
        </w:rPr>
      </w:pPr>
      <w:r w:rsidRPr="005E2F07">
        <w:rPr>
          <w:rFonts w:ascii="Arial" w:hAnsi="Arial" w:cs="Arial"/>
          <w:b/>
          <w:bCs/>
        </w:rPr>
        <w:t>Suspension and Debarment</w:t>
      </w:r>
    </w:p>
    <w:p w14:paraId="6AF5BEA8" w14:textId="4C9FF4B7" w:rsidR="005E2F07" w:rsidRPr="005E2F07" w:rsidRDefault="005E2F07" w:rsidP="005E2F07">
      <w:pPr>
        <w:spacing w:after="240"/>
        <w:ind w:left="360"/>
        <w:jc w:val="both"/>
        <w:rPr>
          <w:rFonts w:ascii="Arial" w:hAnsi="Arial" w:cs="Arial"/>
          <w:bCs/>
          <w:sz w:val="20"/>
        </w:rPr>
      </w:pPr>
      <w:r w:rsidRPr="005E2F07">
        <w:rPr>
          <w:rFonts w:ascii="Arial" w:hAnsi="Arial" w:cs="Arial"/>
          <w:bCs/>
          <w:sz w:val="20"/>
        </w:rPr>
        <w:t>Prior to entering into subawards and contracts with award funds, recipients must verify that such contractors and subrecipients are not suspended, debarred, or otherwise excluded pursuant to 31 CFR section 19.300.</w:t>
      </w:r>
    </w:p>
    <w:p w14:paraId="7A26F85F" w14:textId="6F6CF1D5" w:rsidR="005E2F07" w:rsidRDefault="005E2F07" w:rsidP="005E2F07">
      <w:pPr>
        <w:spacing w:after="240"/>
        <w:jc w:val="both"/>
        <w:rPr>
          <w:rFonts w:ascii="Arial" w:hAnsi="Arial" w:cs="Arial"/>
          <w:bCs/>
          <w:i/>
          <w:sz w:val="20"/>
        </w:rPr>
      </w:pPr>
      <w:r>
        <w:rPr>
          <w:rFonts w:ascii="Arial" w:hAnsi="Arial" w:cs="Arial"/>
          <w:bCs/>
          <w:i/>
          <w:sz w:val="20"/>
        </w:rPr>
        <w:t xml:space="preserve">(Source: 2022 OMB Compliance Supplement, Part 4, Treasury, 21.027 Coronavirus State and Local Fiscal Recovery Fund) </w:t>
      </w:r>
    </w:p>
    <w:p w14:paraId="1275BD0B" w14:textId="77777777" w:rsidR="009138DB" w:rsidRPr="00F00D94"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Written Procedure Requirements:</w:t>
      </w:r>
    </w:p>
    <w:p w14:paraId="49E20817" w14:textId="326A4184" w:rsidR="009138DB" w:rsidRPr="00F00D94" w:rsidRDefault="000023A2" w:rsidP="00700570">
      <w:pPr>
        <w:spacing w:after="240"/>
        <w:jc w:val="both"/>
        <w:rPr>
          <w:rFonts w:ascii="Arial" w:hAnsi="Arial" w:cs="Arial"/>
          <w:sz w:val="20"/>
        </w:rPr>
      </w:pPr>
      <w:r w:rsidRPr="00F00D94">
        <w:rPr>
          <w:rFonts w:ascii="Arial" w:hAnsi="Arial" w:cs="Arial"/>
          <w:sz w:val="20"/>
        </w:rPr>
        <w:lastRenderedPageBreak/>
        <w:t>2 CFR 200.318</w:t>
      </w:r>
      <w:r w:rsidR="009138DB" w:rsidRPr="00F00D94">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14:paraId="7F5D43ED" w14:textId="31604324" w:rsidR="009138DB" w:rsidRPr="00F00D94" w:rsidRDefault="000023A2" w:rsidP="00700570">
      <w:pPr>
        <w:spacing w:after="240"/>
        <w:jc w:val="both"/>
        <w:rPr>
          <w:rFonts w:ascii="Arial" w:hAnsi="Arial" w:cs="Arial"/>
          <w:sz w:val="20"/>
        </w:rPr>
      </w:pPr>
      <w:r w:rsidRPr="00F00D94">
        <w:rPr>
          <w:rFonts w:ascii="Arial" w:hAnsi="Arial" w:cs="Arial"/>
          <w:sz w:val="20"/>
        </w:rPr>
        <w:t>2 CFR 200.318</w:t>
      </w:r>
      <w:r w:rsidR="009138DB" w:rsidRPr="00F00D94">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54FC7BEB" w:rsidR="009138DB" w:rsidRPr="00F00D94" w:rsidRDefault="000023A2" w:rsidP="00700570">
      <w:pPr>
        <w:spacing w:after="240"/>
        <w:jc w:val="both"/>
        <w:rPr>
          <w:rFonts w:ascii="Arial" w:hAnsi="Arial" w:cs="Arial"/>
          <w:sz w:val="20"/>
        </w:rPr>
      </w:pPr>
      <w:r w:rsidRPr="00F00D94">
        <w:rPr>
          <w:rFonts w:ascii="Arial" w:hAnsi="Arial" w:cs="Arial"/>
          <w:sz w:val="20"/>
        </w:rPr>
        <w:t>2 CFR 200.320</w:t>
      </w:r>
      <w:r w:rsidR="009138DB" w:rsidRPr="00F00D94">
        <w:rPr>
          <w:rFonts w:ascii="Arial" w:hAnsi="Arial" w:cs="Arial"/>
          <w:sz w:val="20"/>
        </w:rPr>
        <w:t>(d)(3) requires non-federal entities to have a written method for conducting technical evaluations of the competitive proposals received and for selecting contract recipients.</w:t>
      </w:r>
    </w:p>
    <w:p w14:paraId="069C4F2D" w14:textId="752AB6EB" w:rsidR="009138DB" w:rsidRPr="00F00D94" w:rsidRDefault="000023A2" w:rsidP="00700570">
      <w:pPr>
        <w:spacing w:after="240"/>
        <w:jc w:val="both"/>
        <w:rPr>
          <w:rFonts w:ascii="Arial" w:hAnsi="Arial" w:cs="Arial"/>
          <w:sz w:val="20"/>
        </w:rPr>
      </w:pPr>
      <w:r w:rsidRPr="00F00D94">
        <w:rPr>
          <w:rFonts w:ascii="Arial" w:hAnsi="Arial" w:cs="Arial"/>
          <w:sz w:val="20"/>
        </w:rPr>
        <w:t>2 CFR 200.319</w:t>
      </w:r>
      <w:r w:rsidR="009138DB" w:rsidRPr="00F00D94">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35961B29" w14:textId="77777777" w:rsidR="009138DB" w:rsidRPr="00F00D94"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F00D94">
        <w:rPr>
          <w:rFonts w:ascii="Arial" w:hAnsi="Arial" w:cs="Arial"/>
          <w:i/>
          <w:sz w:val="20"/>
          <w:highlight w:val="green"/>
        </w:rPr>
        <w:t>(Source: CFAE/eCFR)</w:t>
      </w:r>
    </w:p>
    <w:p w14:paraId="46AE25DA" w14:textId="77777777" w:rsidR="004418B7" w:rsidRDefault="004418B7" w:rsidP="004418B7">
      <w:pPr>
        <w:spacing w:after="240"/>
        <w:jc w:val="both"/>
        <w:rPr>
          <w:rFonts w:ascii="Arial" w:hAnsi="Arial" w:cs="Arial"/>
          <w:b/>
          <w:bCs/>
          <w:color w:val="FF0000"/>
          <w:sz w:val="22"/>
        </w:rPr>
      </w:pPr>
      <w:r>
        <w:rPr>
          <w:rFonts w:ascii="Arial" w:hAnsi="Arial" w:cs="Arial"/>
          <w:b/>
          <w:bCs/>
          <w:color w:val="FF0000"/>
        </w:rPr>
        <w:t xml:space="preserve">NOTE: </w:t>
      </w:r>
    </w:p>
    <w:p w14:paraId="21EEF344" w14:textId="77777777" w:rsidR="004418B7" w:rsidRDefault="004418B7" w:rsidP="004418B7">
      <w:pPr>
        <w:spacing w:after="240"/>
        <w:jc w:val="both"/>
        <w:rPr>
          <w:rFonts w:ascii="Arial" w:hAnsi="Arial" w:cs="Arial"/>
          <w:b/>
          <w:bCs/>
          <w:color w:val="FF0000"/>
          <w:sz w:val="20"/>
        </w:rPr>
      </w:pPr>
      <w:r>
        <w:rPr>
          <w:rFonts w:ascii="Arial" w:hAnsi="Arial" w:cs="Arial"/>
          <w:b/>
          <w:bCs/>
          <w:color w:val="FF0000"/>
          <w:sz w:val="20"/>
        </w:rPr>
        <w:t xml:space="preserve">If an internal control deficiency or noncompliance is noted with Suspension and Debarment requirements, AoS auditors </w:t>
      </w:r>
      <w:r>
        <w:rPr>
          <w:rFonts w:ascii="Arial" w:hAnsi="Arial" w:cs="Arial"/>
          <w:b/>
          <w:bCs/>
          <w:i/>
          <w:iCs/>
          <w:color w:val="FF0000"/>
          <w:sz w:val="20"/>
          <w:u w:val="single"/>
        </w:rPr>
        <w:t>must</w:t>
      </w:r>
      <w:r>
        <w:rPr>
          <w:rFonts w:ascii="Arial" w:hAnsi="Arial" w:cs="Arial"/>
          <w:b/>
          <w:bCs/>
          <w:color w:val="FF0000"/>
          <w:sz w:val="20"/>
        </w:rPr>
        <w:t xml:space="preserve"> submit a consult via the FACCR specialty in Spiceworks. IPAs should review the Federal agency adoption of the Suspension and Debarment requirements as well as the specific terms and conditions in the grant agreement to ensure the comment is accurate.</w:t>
      </w:r>
    </w:p>
    <w:p w14:paraId="66F72DB9" w14:textId="77777777" w:rsidR="004418B7" w:rsidRDefault="004418B7" w:rsidP="004418B7">
      <w:pPr>
        <w:spacing w:after="240"/>
        <w:jc w:val="both"/>
        <w:rPr>
          <w:rFonts w:ascii="Arial" w:hAnsi="Arial" w:cs="Arial"/>
          <w:sz w:val="20"/>
        </w:rPr>
      </w:pPr>
      <w:r>
        <w:rPr>
          <w:rFonts w:ascii="Arial" w:hAnsi="Arial" w:cs="Arial"/>
          <w:i/>
          <w:iCs/>
          <w:sz w:val="20"/>
          <w:highlight w:val="green"/>
        </w:rPr>
        <w:t>(Source: CFAE)</w:t>
      </w:r>
    </w:p>
    <w:p w14:paraId="5A9CB502" w14:textId="77777777" w:rsidR="00FC7102" w:rsidRPr="00F00D94" w:rsidRDefault="00FC7102" w:rsidP="006672EA">
      <w:pPr>
        <w:pStyle w:val="Heading3"/>
        <w:jc w:val="both"/>
        <w:rPr>
          <w:rFonts w:cs="Arial"/>
        </w:rPr>
      </w:pPr>
      <w:bookmarkStart w:id="55" w:name="_Toc115942626"/>
      <w:r w:rsidRPr="00F00D94">
        <w:rPr>
          <w:rFonts w:cs="Arial"/>
        </w:rPr>
        <w:t>Additional Program Specific Information</w:t>
      </w:r>
      <w:bookmarkEnd w:id="55"/>
    </w:p>
    <w:p w14:paraId="48D8E1A5" w14:textId="3E5C42A5" w:rsidR="00444ECF" w:rsidRDefault="00115904" w:rsidP="006672EA">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Procurement and Suspension and Debarment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1B21B6F3" w14:textId="77777777" w:rsidR="00B95AD4" w:rsidRDefault="00B95AD4" w:rsidP="00B95AD4">
      <w:pPr>
        <w:spacing w:after="240"/>
        <w:jc w:val="both"/>
        <w:rPr>
          <w:rFonts w:ascii="Arial" w:hAnsi="Arial" w:cs="Arial"/>
          <w:bCs/>
          <w:sz w:val="20"/>
        </w:rPr>
      </w:pPr>
      <w:r>
        <w:rPr>
          <w:rFonts w:ascii="Arial" w:hAnsi="Arial" w:cs="Arial"/>
          <w:bCs/>
          <w:sz w:val="20"/>
        </w:rPr>
        <w:t>I</w:t>
      </w:r>
      <w:r w:rsidRPr="005E2F07">
        <w:rPr>
          <w:rFonts w:ascii="Arial" w:hAnsi="Arial" w:cs="Arial"/>
          <w:bCs/>
          <w:sz w:val="20"/>
        </w:rPr>
        <w:t xml:space="preserve">n July 2022 Treasury issued updated </w:t>
      </w:r>
      <w:hyperlink r:id="rId102" w:history="1">
        <w:r w:rsidRPr="005E2F07">
          <w:rPr>
            <w:rStyle w:val="Hyperlink"/>
            <w:rFonts w:ascii="Arial" w:hAnsi="Arial" w:cs="Arial"/>
            <w:bCs/>
            <w:sz w:val="20"/>
          </w:rPr>
          <w:t>SLFRF Final Rule FAQs</w:t>
        </w:r>
      </w:hyperlink>
      <w:r w:rsidRPr="005E2F07">
        <w:rPr>
          <w:rFonts w:ascii="Arial" w:hAnsi="Arial" w:cs="Arial"/>
          <w:bCs/>
          <w:sz w:val="20"/>
        </w:rPr>
        <w:t xml:space="preserve"> which, in part, removed the applicability of procurement requirements (2 CFR 200.317 - .327) for expenditures from the Revenue Loss eligible use category.</w:t>
      </w:r>
    </w:p>
    <w:p w14:paraId="58E83EBD" w14:textId="74759B6A" w:rsidR="00B95AD4" w:rsidRPr="00F00D94" w:rsidRDefault="00B95AD4" w:rsidP="00B95AD4">
      <w:pPr>
        <w:spacing w:after="240"/>
        <w:jc w:val="both"/>
        <w:rPr>
          <w:rFonts w:ascii="Arial" w:hAnsi="Arial" w:cs="Arial"/>
          <w:b/>
        </w:rPr>
      </w:pPr>
      <w:r>
        <w:rPr>
          <w:rFonts w:ascii="Arial" w:hAnsi="Arial" w:cs="Arial"/>
          <w:bCs/>
          <w:i/>
          <w:sz w:val="20"/>
        </w:rPr>
        <w:t xml:space="preserve">(Source: </w:t>
      </w:r>
      <w:r w:rsidRPr="005E2F07">
        <w:rPr>
          <w:rFonts w:ascii="Arial" w:hAnsi="Arial" w:cs="Arial"/>
          <w:bCs/>
          <w:i/>
          <w:sz w:val="20"/>
          <w:highlight w:val="green"/>
        </w:rPr>
        <w:t>CFAE</w:t>
      </w:r>
      <w:r w:rsidRPr="005E2F07">
        <w:rPr>
          <w:rFonts w:ascii="Arial" w:hAnsi="Arial" w:cs="Arial"/>
          <w:bCs/>
          <w:i/>
          <w:sz w:val="20"/>
        </w:rPr>
        <w:t xml:space="preserve"> and </w:t>
      </w:r>
      <w:hyperlink r:id="rId103" w:history="1">
        <w:r w:rsidRPr="005E2F07">
          <w:rPr>
            <w:rStyle w:val="Hyperlink"/>
            <w:rFonts w:ascii="Arial" w:hAnsi="Arial" w:cs="Arial"/>
            <w:bCs/>
            <w:i/>
            <w:sz w:val="20"/>
          </w:rPr>
          <w:t>SLFRF Final Rule FAQs</w:t>
        </w:r>
      </w:hyperlink>
      <w:r w:rsidRPr="005E2F07">
        <w:rPr>
          <w:rFonts w:ascii="Arial" w:hAnsi="Arial" w:cs="Arial"/>
          <w:bCs/>
          <w:i/>
          <w:sz w:val="20"/>
        </w:rPr>
        <w:t>)</w:t>
      </w:r>
    </w:p>
    <w:p w14:paraId="3D8CBD5C" w14:textId="77777777" w:rsidR="00220BEF" w:rsidRPr="00F00D94" w:rsidRDefault="009A7756" w:rsidP="006672EA">
      <w:pPr>
        <w:pStyle w:val="Heading3"/>
        <w:jc w:val="both"/>
        <w:rPr>
          <w:rFonts w:cs="Arial"/>
          <w:bCs/>
        </w:rPr>
      </w:pPr>
      <w:bookmarkStart w:id="56" w:name="_Toc115942627"/>
      <w:r w:rsidRPr="00F00D94">
        <w:rPr>
          <w:rFonts w:cs="Arial"/>
        </w:rPr>
        <w:t xml:space="preserve">Audit Objectives </w:t>
      </w:r>
      <w:r w:rsidR="00220BEF" w:rsidRPr="00F00D94">
        <w:rPr>
          <w:rFonts w:cs="Arial"/>
        </w:rPr>
        <w:t>and Control Testing</w:t>
      </w:r>
      <w:bookmarkEnd w:id="56"/>
    </w:p>
    <w:p w14:paraId="70815B46" w14:textId="2F8E856A"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2D97848B" w14:textId="77777777" w:rsidR="000E5EED" w:rsidRPr="00F00D94" w:rsidRDefault="00EB1C72" w:rsidP="00737F09">
      <w:pPr>
        <w:pStyle w:val="BodyText"/>
        <w:widowControl w:val="0"/>
        <w:numPr>
          <w:ilvl w:val="0"/>
          <w:numId w:val="50"/>
        </w:numPr>
        <w:autoSpaceDE w:val="0"/>
        <w:autoSpaceDN w:val="0"/>
        <w:spacing w:after="0"/>
        <w:rPr>
          <w:rFonts w:ascii="Arial" w:hAnsi="Arial" w:cs="Arial"/>
          <w:sz w:val="20"/>
          <w:szCs w:val="20"/>
        </w:rPr>
      </w:pPr>
      <w:hyperlink r:id="rId104"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28C48291" w14:textId="77777777" w:rsidR="000E5EED" w:rsidRPr="00F00D94" w:rsidRDefault="00EB1C72" w:rsidP="00737F09">
      <w:pPr>
        <w:pStyle w:val="BodyText"/>
        <w:widowControl w:val="0"/>
        <w:numPr>
          <w:ilvl w:val="0"/>
          <w:numId w:val="50"/>
        </w:numPr>
        <w:autoSpaceDE w:val="0"/>
        <w:autoSpaceDN w:val="0"/>
        <w:spacing w:after="0"/>
        <w:rPr>
          <w:rFonts w:ascii="Arial" w:hAnsi="Arial" w:cs="Arial"/>
          <w:sz w:val="20"/>
          <w:szCs w:val="20"/>
        </w:rPr>
      </w:pPr>
      <w:hyperlink r:id="rId105" w:history="1">
        <w:r w:rsidR="000E5EED" w:rsidRPr="00F00D94">
          <w:rPr>
            <w:rStyle w:val="Hyperlink"/>
            <w:rFonts w:ascii="Arial" w:hAnsi="Arial" w:cs="Arial"/>
            <w:sz w:val="20"/>
            <w:szCs w:val="20"/>
          </w:rPr>
          <w:t>2013 COSO</w:t>
        </w:r>
      </w:hyperlink>
    </w:p>
    <w:p w14:paraId="15D1C5C0" w14:textId="77777777" w:rsidR="000E5EED" w:rsidRPr="00F00D94" w:rsidRDefault="00EB1C72" w:rsidP="00737F09">
      <w:pPr>
        <w:pStyle w:val="BodyText"/>
        <w:widowControl w:val="0"/>
        <w:numPr>
          <w:ilvl w:val="0"/>
          <w:numId w:val="50"/>
        </w:numPr>
        <w:autoSpaceDE w:val="0"/>
        <w:autoSpaceDN w:val="0"/>
        <w:rPr>
          <w:rStyle w:val="Hyperlink"/>
          <w:rFonts w:ascii="Arial" w:hAnsi="Arial" w:cs="Arial"/>
          <w:color w:val="auto"/>
          <w:sz w:val="20"/>
          <w:szCs w:val="20"/>
          <w:u w:val="none"/>
        </w:rPr>
      </w:pPr>
      <w:hyperlink r:id="rId106" w:history="1">
        <w:r w:rsidR="000E5EED" w:rsidRPr="00F00D94">
          <w:rPr>
            <w:rStyle w:val="Hyperlink"/>
            <w:rFonts w:ascii="Arial" w:hAnsi="Arial" w:cs="Arial"/>
            <w:sz w:val="20"/>
            <w:szCs w:val="20"/>
          </w:rPr>
          <w:t>GAO’s 2014 Green Book</w:t>
        </w:r>
      </w:hyperlink>
    </w:p>
    <w:p w14:paraId="2B9C1EC2" w14:textId="77777777" w:rsidR="000E5EED" w:rsidRPr="00F00D94" w:rsidRDefault="000E5EED" w:rsidP="000E5EE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F54C14F" w14:textId="77777777" w:rsidR="000E5EED" w:rsidRPr="00F00D94" w:rsidRDefault="000E5EED" w:rsidP="000E5EED">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1188BC75" w14:textId="77777777" w:rsidR="000E5EED" w:rsidRPr="00F00D94" w:rsidRDefault="000E5EED" w:rsidP="000E5EED">
      <w:pPr>
        <w:spacing w:after="240"/>
        <w:ind w:left="360"/>
        <w:jc w:val="both"/>
        <w:rPr>
          <w:rFonts w:ascii="Arial" w:hAnsi="Arial" w:cs="Arial"/>
          <w:sz w:val="20"/>
        </w:rPr>
      </w:pPr>
      <w:r w:rsidRPr="00F00D94">
        <w:rPr>
          <w:rFonts w:ascii="Arial" w:hAnsi="Arial" w:cs="Arial"/>
          <w:sz w:val="20"/>
        </w:rPr>
        <w:lastRenderedPageBreak/>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45B2964A" w14:textId="7C94F99C"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ro</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un</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z w:val="20"/>
        </w:rPr>
        <w:t>r f</w:t>
      </w:r>
      <w:r w:rsidRPr="00F00D94">
        <w:rPr>
          <w:rFonts w:ascii="Arial" w:eastAsia="Arial" w:hAnsi="Arial" w:cs="Arial"/>
          <w:spacing w:val="1"/>
          <w:sz w:val="20"/>
        </w:rPr>
        <w:t>e</w:t>
      </w:r>
      <w:r w:rsidRPr="00F00D94">
        <w:rPr>
          <w:rFonts w:ascii="Arial" w:eastAsia="Arial" w:hAnsi="Arial" w:cs="Arial"/>
          <w:spacing w:val="-1"/>
          <w:sz w:val="20"/>
        </w:rPr>
        <w:t>der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in c</w:t>
      </w:r>
      <w:r w:rsidRPr="00F00D94">
        <w:rPr>
          <w:rFonts w:ascii="Arial" w:eastAsia="Arial" w:hAnsi="Arial" w:cs="Arial"/>
          <w:spacing w:val="1"/>
          <w:sz w:val="20"/>
        </w:rPr>
        <w:t>o</w:t>
      </w:r>
      <w:r w:rsidRPr="00F00D94">
        <w:rPr>
          <w:rFonts w:ascii="Arial" w:eastAsia="Arial" w:hAnsi="Arial" w:cs="Arial"/>
          <w:spacing w:val="2"/>
          <w:sz w:val="20"/>
        </w:rPr>
        <w:t>m</w:t>
      </w:r>
      <w:r w:rsidRPr="00F00D94">
        <w:rPr>
          <w:rFonts w:ascii="Arial" w:eastAsia="Arial" w:hAnsi="Arial" w:cs="Arial"/>
          <w:spacing w:val="1"/>
          <w:sz w:val="20"/>
        </w:rPr>
        <w:t>p</w:t>
      </w:r>
      <w:r w:rsidRPr="00F00D94">
        <w:rPr>
          <w:rFonts w:ascii="Arial" w:eastAsia="Arial" w:hAnsi="Arial" w:cs="Arial"/>
          <w:sz w:val="20"/>
        </w:rPr>
        <w:t>li</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a</w:t>
      </w:r>
      <w:r w:rsidRPr="00F00D94">
        <w:rPr>
          <w:rFonts w:ascii="Arial" w:eastAsia="Arial" w:hAnsi="Arial" w:cs="Arial"/>
          <w:spacing w:val="-1"/>
          <w:sz w:val="20"/>
        </w:rPr>
        <w:t>p</w:t>
      </w:r>
      <w:r w:rsidRPr="00F00D94">
        <w:rPr>
          <w:rFonts w:ascii="Arial" w:eastAsia="Arial" w:hAnsi="Arial" w:cs="Arial"/>
          <w:spacing w:val="1"/>
          <w:sz w:val="20"/>
        </w:rPr>
        <w:t>p</w:t>
      </w:r>
      <w:r w:rsidRPr="00F00D94">
        <w:rPr>
          <w:rFonts w:ascii="Arial" w:eastAsia="Arial" w:hAnsi="Arial" w:cs="Arial"/>
          <w:sz w:val="20"/>
        </w:rPr>
        <w:t>lic</w:t>
      </w:r>
      <w:r w:rsidRPr="00F00D94">
        <w:rPr>
          <w:rFonts w:ascii="Arial" w:eastAsia="Arial" w:hAnsi="Arial" w:cs="Arial"/>
          <w:spacing w:val="1"/>
          <w:sz w:val="20"/>
        </w:rPr>
        <w:t>ab</w:t>
      </w:r>
      <w:r w:rsidRPr="00F00D94">
        <w:rPr>
          <w:rFonts w:ascii="Arial" w:eastAsia="Arial" w:hAnsi="Arial" w:cs="Arial"/>
          <w:sz w:val="20"/>
        </w:rPr>
        <w:t>le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g</w:t>
      </w:r>
      <w:r w:rsidRPr="00F00D94">
        <w:rPr>
          <w:rFonts w:ascii="Arial" w:eastAsia="Arial" w:hAnsi="Arial" w:cs="Arial"/>
          <w:spacing w:val="1"/>
          <w:sz w:val="20"/>
        </w:rPr>
        <w:t>u</w:t>
      </w:r>
      <w:r w:rsidRPr="00F00D94">
        <w:rPr>
          <w:rFonts w:ascii="Arial" w:eastAsia="Arial" w:hAnsi="Arial" w:cs="Arial"/>
          <w:sz w:val="20"/>
        </w:rPr>
        <w:t>l</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1"/>
          <w:sz w:val="20"/>
        </w:rPr>
        <w:t>an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pacing w:val="-2"/>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c</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me</w:t>
      </w:r>
      <w:r w:rsidRPr="00F00D94">
        <w:rPr>
          <w:rFonts w:ascii="Arial" w:eastAsia="Arial" w:hAnsi="Arial" w:cs="Arial"/>
          <w:spacing w:val="1"/>
          <w:sz w:val="20"/>
        </w:rPr>
        <w:t xml:space="preserve">nt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z w:val="20"/>
        </w:rPr>
        <w:t>s</w:t>
      </w:r>
      <w:r w:rsidRPr="00F00D94">
        <w:rPr>
          <w:rFonts w:ascii="Arial" w:eastAsia="Arial" w:hAnsi="Arial" w:cs="Arial"/>
          <w:spacing w:val="1"/>
          <w:sz w:val="20"/>
        </w:rPr>
        <w:t>pe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ic</w:t>
      </w:r>
      <w:r w:rsidRPr="00F00D94">
        <w:rPr>
          <w:rFonts w:ascii="Arial" w:eastAsia="Arial" w:hAnsi="Arial" w:cs="Arial"/>
          <w:spacing w:val="-2"/>
          <w:sz w:val="20"/>
        </w:rPr>
        <w:t xml:space="preserve"> t</w:t>
      </w:r>
      <w:r w:rsidRPr="00F00D94">
        <w:rPr>
          <w:rFonts w:ascii="Arial" w:eastAsia="Arial" w:hAnsi="Arial" w:cs="Arial"/>
          <w:sz w:val="20"/>
        </w:rPr>
        <w:t>o</w:t>
      </w:r>
      <w:r w:rsidRPr="00F00D94">
        <w:rPr>
          <w:rFonts w:ascii="Arial" w:eastAsia="Arial" w:hAnsi="Arial" w:cs="Arial"/>
          <w:spacing w:val="1"/>
          <w:sz w:val="20"/>
        </w:rPr>
        <w:t xml:space="preserve"> a</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r s</w:t>
      </w:r>
      <w:r w:rsidRPr="00F00D94">
        <w:rPr>
          <w:rFonts w:ascii="Arial" w:eastAsia="Arial" w:hAnsi="Arial" w:cs="Arial"/>
          <w:spacing w:val="1"/>
          <w:sz w:val="20"/>
        </w:rPr>
        <w:t>u</w:t>
      </w:r>
      <w:r w:rsidRPr="00F00D94">
        <w:rPr>
          <w:rFonts w:ascii="Arial" w:eastAsia="Arial" w:hAnsi="Arial" w:cs="Arial"/>
          <w:spacing w:val="-1"/>
          <w:sz w:val="20"/>
        </w:rPr>
        <w:t>b</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p>
    <w:p w14:paraId="6F3C8127" w14:textId="1B365D0A" w:rsidR="000E5EED" w:rsidRPr="00F00D94" w:rsidRDefault="000E5EED" w:rsidP="000E5EED">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F</w:t>
      </w:r>
      <w:r w:rsidRPr="00F00D94">
        <w:rPr>
          <w:rFonts w:ascii="Arial" w:eastAsia="Arial" w:hAnsi="Arial" w:cs="Arial"/>
          <w:spacing w:val="1"/>
          <w:sz w:val="20"/>
        </w:rPr>
        <w:t>o</w:t>
      </w:r>
      <w:r w:rsidRPr="00F00D94">
        <w:rPr>
          <w:rFonts w:ascii="Arial" w:eastAsia="Arial" w:hAnsi="Arial" w:cs="Arial"/>
          <w:sz w:val="20"/>
        </w:rPr>
        <w:t>r c</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r</w:t>
      </w:r>
      <w:r w:rsidRPr="00F00D94">
        <w:rPr>
          <w:rFonts w:ascii="Arial" w:eastAsia="Arial" w:hAnsi="Arial" w:cs="Arial"/>
          <w:spacing w:val="1"/>
          <w:sz w:val="20"/>
        </w:rPr>
        <w:t>an</w:t>
      </w:r>
      <w:r w:rsidRPr="00F00D94">
        <w:rPr>
          <w:rFonts w:ascii="Arial" w:eastAsia="Arial" w:hAnsi="Arial" w:cs="Arial"/>
          <w:spacing w:val="-2"/>
          <w:sz w:val="20"/>
        </w:rPr>
        <w:t>s</w:t>
      </w:r>
      <w:r w:rsidRPr="00F00D94">
        <w:rPr>
          <w:rFonts w:ascii="Arial" w:eastAsia="Arial" w:hAnsi="Arial" w:cs="Arial"/>
          <w:spacing w:val="1"/>
          <w:sz w:val="20"/>
        </w:rPr>
        <w:t>a</w:t>
      </w:r>
      <w:r w:rsidRPr="00F00D94">
        <w:rPr>
          <w:rFonts w:ascii="Arial" w:eastAsia="Arial" w:hAnsi="Arial" w:cs="Arial"/>
          <w:sz w:val="20"/>
        </w:rPr>
        <w:t>cti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e</w:t>
      </w:r>
      <w:r w:rsidRPr="00F00D94">
        <w:rPr>
          <w:rFonts w:ascii="Arial" w:eastAsia="Arial" w:hAnsi="Arial" w:cs="Arial"/>
          <w:sz w:val="20"/>
        </w:rPr>
        <w:t xml:space="preserve">r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on</w:t>
      </w:r>
      <w:r w:rsidRPr="00F00D94">
        <w:rPr>
          <w:rFonts w:ascii="Arial" w:eastAsia="Arial" w:hAnsi="Arial" w:cs="Arial"/>
          <w:spacing w:val="-1"/>
          <w:sz w:val="20"/>
        </w:rPr>
        <w:t>-</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tity</w:t>
      </w:r>
      <w:r w:rsidRPr="00F00D94">
        <w:rPr>
          <w:rFonts w:ascii="Arial" w:eastAsia="Arial" w:hAnsi="Arial" w:cs="Arial"/>
          <w:spacing w:val="-2"/>
          <w:sz w:val="20"/>
        </w:rPr>
        <w:t xml:space="preserve"> </w:t>
      </w:r>
      <w:r w:rsidRPr="00F00D94">
        <w:rPr>
          <w:rFonts w:ascii="Arial" w:eastAsia="Arial" w:hAnsi="Arial" w:cs="Arial"/>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at en</w:t>
      </w:r>
      <w:r w:rsidRPr="00F00D94">
        <w:rPr>
          <w:rFonts w:ascii="Arial" w:eastAsia="Arial" w:hAnsi="Arial" w:cs="Arial"/>
          <w:sz w:val="20"/>
        </w:rPr>
        <w:t>titi</w:t>
      </w:r>
      <w:r w:rsidRPr="00F00D94">
        <w:rPr>
          <w:rFonts w:ascii="Arial" w:eastAsia="Arial" w:hAnsi="Arial" w:cs="Arial"/>
          <w:spacing w:val="1"/>
          <w:sz w:val="20"/>
        </w:rPr>
        <w:t>e</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2"/>
          <w:sz w:val="20"/>
        </w:rPr>
        <w:t>s</w:t>
      </w:r>
      <w:r w:rsidRPr="00F00D94">
        <w:rPr>
          <w:rFonts w:ascii="Arial" w:eastAsia="Arial" w:hAnsi="Arial" w:cs="Arial"/>
          <w:spacing w:val="1"/>
          <w:sz w:val="20"/>
        </w:rPr>
        <w:t>u</w:t>
      </w:r>
      <w:r w:rsidRPr="00F00D94">
        <w:rPr>
          <w:rFonts w:ascii="Arial" w:eastAsia="Arial" w:hAnsi="Arial" w:cs="Arial"/>
          <w:sz w:val="20"/>
        </w:rPr>
        <w:t>s</w:t>
      </w:r>
      <w:r w:rsidRPr="00F00D94">
        <w:rPr>
          <w:rFonts w:ascii="Arial" w:eastAsia="Arial" w:hAnsi="Arial" w:cs="Arial"/>
          <w:spacing w:val="1"/>
          <w:sz w:val="20"/>
        </w:rPr>
        <w:t>p</w:t>
      </w:r>
      <w:r w:rsidRPr="00F00D94">
        <w:rPr>
          <w:rFonts w:ascii="Arial" w:eastAsia="Arial" w:hAnsi="Arial" w:cs="Arial"/>
          <w:spacing w:val="-1"/>
          <w:sz w:val="20"/>
        </w:rPr>
        <w:t>en</w:t>
      </w:r>
      <w:r w:rsidRPr="00F00D94">
        <w:rPr>
          <w:rFonts w:ascii="Arial" w:eastAsia="Arial" w:hAnsi="Arial" w:cs="Arial"/>
          <w:spacing w:val="1"/>
          <w:sz w:val="20"/>
        </w:rPr>
        <w:t>ded</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ba</w:t>
      </w:r>
      <w:r w:rsidRPr="00F00D94">
        <w:rPr>
          <w:rFonts w:ascii="Arial" w:eastAsia="Arial" w:hAnsi="Arial" w:cs="Arial"/>
          <w:spacing w:val="-1"/>
          <w:sz w:val="20"/>
        </w:rPr>
        <w:t>rr</w:t>
      </w:r>
      <w:r w:rsidRPr="00F00D94">
        <w:rPr>
          <w:rFonts w:ascii="Arial" w:eastAsia="Arial" w:hAnsi="Arial" w:cs="Arial"/>
          <w:spacing w:val="1"/>
          <w:sz w:val="20"/>
        </w:rPr>
        <w:t>ed</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o</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pacing w:val="-3"/>
          <w:sz w:val="20"/>
        </w:rPr>
        <w:t>rw</w:t>
      </w:r>
      <w:r w:rsidRPr="00F00D94">
        <w:rPr>
          <w:rFonts w:ascii="Arial" w:eastAsia="Arial" w:hAnsi="Arial" w:cs="Arial"/>
          <w:sz w:val="20"/>
        </w:rPr>
        <w:t>ise</w:t>
      </w:r>
      <w:r w:rsidRPr="00F00D94">
        <w:rPr>
          <w:rFonts w:ascii="Arial" w:eastAsia="Arial" w:hAnsi="Arial" w:cs="Arial"/>
          <w:spacing w:val="1"/>
          <w:sz w:val="20"/>
        </w:rPr>
        <w:t xml:space="preserve"> e</w:t>
      </w:r>
      <w:r w:rsidRPr="00F00D94">
        <w:rPr>
          <w:rFonts w:ascii="Arial" w:eastAsia="Arial" w:hAnsi="Arial" w:cs="Arial"/>
          <w:spacing w:val="-2"/>
          <w:sz w:val="20"/>
        </w:rPr>
        <w:t>x</w:t>
      </w:r>
      <w:r w:rsidRPr="00F00D94">
        <w:rPr>
          <w:rFonts w:ascii="Arial" w:eastAsia="Arial" w:hAnsi="Arial" w:cs="Arial"/>
          <w:spacing w:val="2"/>
          <w:sz w:val="20"/>
        </w:rPr>
        <w:t>c</w:t>
      </w:r>
      <w:r w:rsidRPr="00F00D94">
        <w:rPr>
          <w:rFonts w:ascii="Arial" w:eastAsia="Arial" w:hAnsi="Arial" w:cs="Arial"/>
          <w:sz w:val="20"/>
        </w:rPr>
        <w:t>l</w:t>
      </w:r>
      <w:r w:rsidRPr="00F00D94">
        <w:rPr>
          <w:rFonts w:ascii="Arial" w:eastAsia="Arial" w:hAnsi="Arial" w:cs="Arial"/>
          <w:spacing w:val="1"/>
          <w:sz w:val="20"/>
        </w:rPr>
        <w:t>uded.</w:t>
      </w:r>
    </w:p>
    <w:p w14:paraId="5B49496A" w14:textId="02814165" w:rsidR="009138DB"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p w14:paraId="25923CEE" w14:textId="77777777" w:rsidR="009138DB" w:rsidRPr="00F00D94" w:rsidRDefault="009138DB" w:rsidP="00700570">
      <w:pPr>
        <w:spacing w:after="240"/>
        <w:jc w:val="both"/>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382CA2" w14:textId="77777777" w:rsidR="009138DB" w:rsidRPr="00F00D94" w:rsidRDefault="009138DB" w:rsidP="00700570">
      <w:pPr>
        <w:spacing w:after="240"/>
        <w:jc w:val="both"/>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63005C0D" w:rsidR="009138DB" w:rsidRPr="00F00D94" w:rsidRDefault="009138DB" w:rsidP="00737F09">
      <w:pPr>
        <w:pStyle w:val="ListParagraph"/>
        <w:numPr>
          <w:ilvl w:val="0"/>
          <w:numId w:val="45"/>
        </w:numPr>
        <w:spacing w:after="240"/>
        <w:jc w:val="both"/>
        <w:rPr>
          <w:rStyle w:val="Hyperlink"/>
          <w:rFonts w:ascii="Arial" w:hAnsi="Arial" w:cs="Arial"/>
          <w:color w:val="auto"/>
          <w:u w:val="none"/>
        </w:rPr>
      </w:pPr>
      <w:r w:rsidRPr="00F00D94">
        <w:rPr>
          <w:rStyle w:val="Hyperlink"/>
          <w:rFonts w:ascii="Arial" w:hAnsi="Arial" w:cs="Arial"/>
          <w:color w:val="auto"/>
          <w:u w:val="none"/>
        </w:rPr>
        <w:t xml:space="preserve">UG requires a written policy for the requirements outlined in </w:t>
      </w:r>
      <w:r w:rsidR="000023A2" w:rsidRPr="00F00D94">
        <w:rPr>
          <w:rFonts w:ascii="Arial" w:hAnsi="Arial" w:cs="Arial"/>
        </w:rPr>
        <w:t>2 CFR 200.318</w:t>
      </w:r>
      <w:r w:rsidRPr="00F00D94">
        <w:rPr>
          <w:rStyle w:val="Hyperlink"/>
          <w:rFonts w:ascii="Arial" w:hAnsi="Arial" w:cs="Arial"/>
          <w:color w:val="auto"/>
          <w:u w:val="none"/>
        </w:rPr>
        <w:t xml:space="preserve">(c)(1), </w:t>
      </w:r>
      <w:r w:rsidR="000023A2" w:rsidRPr="00F00D94">
        <w:rPr>
          <w:rFonts w:ascii="Arial" w:hAnsi="Arial" w:cs="Arial"/>
        </w:rPr>
        <w:t>2 CFR 200.318</w:t>
      </w:r>
      <w:r w:rsidRPr="00F00D94">
        <w:rPr>
          <w:rStyle w:val="Hyperlink"/>
          <w:rFonts w:ascii="Arial" w:hAnsi="Arial" w:cs="Arial"/>
          <w:color w:val="auto"/>
          <w:u w:val="none"/>
        </w:rPr>
        <w:t xml:space="preserve">(c)(2), </w:t>
      </w:r>
      <w:r w:rsidR="000023A2" w:rsidRPr="00F00D94">
        <w:rPr>
          <w:rFonts w:ascii="Arial" w:hAnsi="Arial" w:cs="Arial"/>
        </w:rPr>
        <w:t>2 CFR 200.320</w:t>
      </w:r>
      <w:r w:rsidRPr="00F00D94">
        <w:rPr>
          <w:rStyle w:val="Hyperlink"/>
          <w:rFonts w:ascii="Arial" w:hAnsi="Arial" w:cs="Arial"/>
          <w:color w:val="auto"/>
          <w:u w:val="none"/>
        </w:rPr>
        <w:t xml:space="preserve">(d)(3), and </w:t>
      </w:r>
      <w:r w:rsidR="000023A2" w:rsidRPr="00F00D94">
        <w:rPr>
          <w:rFonts w:ascii="Arial" w:hAnsi="Arial" w:cs="Arial"/>
        </w:rPr>
        <w:t>2 CFR 200.319</w:t>
      </w:r>
      <w:r w:rsidRPr="00F00D94">
        <w:rPr>
          <w:rStyle w:val="Hyperlink"/>
          <w:rFonts w:ascii="Arial" w:hAnsi="Arial" w:cs="Arial"/>
          <w:color w:val="auto"/>
          <w:u w:val="none"/>
        </w:rPr>
        <w:t>(c)</w:t>
      </w:r>
      <w:r w:rsidRPr="00F00D94">
        <w:rPr>
          <w:rStyle w:val="Hyperlink"/>
          <w:rFonts w:ascii="Arial" w:hAnsi="Arial" w:cs="Arial"/>
          <w:i/>
          <w:color w:val="auto"/>
          <w:u w:val="none"/>
        </w:rPr>
        <w:t>.</w:t>
      </w:r>
    </w:p>
    <w:p w14:paraId="1ADA8E87" w14:textId="77777777" w:rsidR="009138DB" w:rsidRPr="00F00D94" w:rsidRDefault="009138DB" w:rsidP="00737F09">
      <w:pPr>
        <w:pStyle w:val="AuditProcedureHeading"/>
        <w:numPr>
          <w:ilvl w:val="0"/>
          <w:numId w:val="45"/>
        </w:numPr>
        <w:spacing w:after="240"/>
        <w:jc w:val="both"/>
        <w:rPr>
          <w:rFonts w:cs="Arial"/>
          <w:bCs/>
          <w:szCs w:val="20"/>
        </w:rPr>
      </w:pPr>
      <w:r w:rsidRPr="00F00D94">
        <w:rPr>
          <w:rFonts w:cs="Arial"/>
          <w:bCs/>
          <w:szCs w:val="20"/>
        </w:rPr>
        <w:t>Document whether the non-Federal entity established written procedures consistent with the following requirements:</w:t>
      </w:r>
    </w:p>
    <w:p w14:paraId="4D9A9454" w14:textId="77777777" w:rsidR="009138DB" w:rsidRPr="00F00D94" w:rsidRDefault="009138DB" w:rsidP="00737F09">
      <w:pPr>
        <w:pStyle w:val="AuditProcedureHeading"/>
        <w:numPr>
          <w:ilvl w:val="1"/>
          <w:numId w:val="45"/>
        </w:numPr>
        <w:spacing w:after="240"/>
        <w:jc w:val="both"/>
        <w:rPr>
          <w:rFonts w:cs="Arial"/>
          <w:bCs/>
          <w:szCs w:val="20"/>
        </w:rPr>
      </w:pPr>
      <w:r w:rsidRPr="00F00D94">
        <w:rPr>
          <w:rFonts w:cs="Arial"/>
          <w:bCs/>
          <w:szCs w:val="20"/>
        </w:rPr>
        <w:t xml:space="preserve">2 CFR 200.318(c)(1) </w:t>
      </w:r>
      <w:r w:rsidRPr="00F00D94">
        <w:rPr>
          <w:rFonts w:cs="Arial"/>
          <w:szCs w:val="20"/>
        </w:rPr>
        <w:t>for employee conflicts of interest</w:t>
      </w:r>
      <w:r w:rsidRPr="00F00D94">
        <w:rPr>
          <w:rFonts w:cs="Arial"/>
          <w:bCs/>
          <w:szCs w:val="20"/>
        </w:rPr>
        <w:t xml:space="preserve">. </w:t>
      </w:r>
    </w:p>
    <w:p w14:paraId="3E3938B3" w14:textId="77777777" w:rsidR="009138DB" w:rsidRPr="00F00D94" w:rsidRDefault="009138DB" w:rsidP="00737F09">
      <w:pPr>
        <w:pStyle w:val="AuditProcedureHeading"/>
        <w:numPr>
          <w:ilvl w:val="1"/>
          <w:numId w:val="45"/>
        </w:numPr>
        <w:spacing w:after="240"/>
        <w:jc w:val="both"/>
        <w:rPr>
          <w:rFonts w:cs="Arial"/>
          <w:bCs/>
          <w:szCs w:val="20"/>
        </w:rPr>
      </w:pPr>
      <w:r w:rsidRPr="00F00D94">
        <w:rPr>
          <w:rFonts w:cs="Arial"/>
          <w:bCs/>
          <w:szCs w:val="20"/>
        </w:rPr>
        <w:t xml:space="preserve">2 CFR 200.318(c)(2) </w:t>
      </w:r>
      <w:r w:rsidRPr="00F00D94">
        <w:rPr>
          <w:rFonts w:cs="Arial"/>
          <w:szCs w:val="20"/>
        </w:rPr>
        <w:t xml:space="preserve">for organizational conflicts of interest. </w:t>
      </w:r>
    </w:p>
    <w:p w14:paraId="3441113B" w14:textId="77777777" w:rsidR="009138DB" w:rsidRPr="00F00D94" w:rsidRDefault="009138DB" w:rsidP="00737F09">
      <w:pPr>
        <w:pStyle w:val="AuditProcedureHeading"/>
        <w:numPr>
          <w:ilvl w:val="1"/>
          <w:numId w:val="45"/>
        </w:numPr>
        <w:spacing w:after="240"/>
        <w:jc w:val="both"/>
        <w:rPr>
          <w:rFonts w:cs="Arial"/>
          <w:bCs/>
          <w:szCs w:val="20"/>
        </w:rPr>
      </w:pPr>
      <w:r w:rsidRPr="00F00D94">
        <w:rPr>
          <w:rFonts w:cs="Arial"/>
          <w:bCs/>
          <w:szCs w:val="20"/>
        </w:rPr>
        <w:t>2 CFR 200.320(d)(3) for selection and awarding of competitive contracts</w:t>
      </w:r>
      <w:r w:rsidRPr="00F00D94">
        <w:rPr>
          <w:rFonts w:cs="Arial"/>
          <w:szCs w:val="20"/>
        </w:rPr>
        <w:t xml:space="preserve">. </w:t>
      </w:r>
    </w:p>
    <w:p w14:paraId="3F3ED4FB" w14:textId="77777777" w:rsidR="009138DB" w:rsidRPr="00F00D94" w:rsidRDefault="009138DB" w:rsidP="00737F09">
      <w:pPr>
        <w:pStyle w:val="AuditProcedureHeading"/>
        <w:numPr>
          <w:ilvl w:val="1"/>
          <w:numId w:val="45"/>
        </w:numPr>
        <w:spacing w:after="240"/>
        <w:jc w:val="both"/>
        <w:rPr>
          <w:rFonts w:cs="Arial"/>
          <w:bCs/>
          <w:szCs w:val="20"/>
        </w:rPr>
      </w:pPr>
      <w:r w:rsidRPr="00F00D94">
        <w:rPr>
          <w:rFonts w:cs="Arial"/>
          <w:bCs/>
          <w:szCs w:val="20"/>
        </w:rPr>
        <w:t>2 CFR 200.319(c) for minimum evaluation criteria for bids and proposals</w:t>
      </w:r>
      <w:r w:rsidRPr="00F00D94">
        <w:rPr>
          <w:rFonts w:cs="Arial"/>
          <w:szCs w:val="20"/>
        </w:rPr>
        <w:t xml:space="preserve">. </w:t>
      </w:r>
    </w:p>
    <w:p w14:paraId="687D8523" w14:textId="77777777" w:rsidR="009138DB" w:rsidRPr="00F00D94" w:rsidRDefault="009138DB" w:rsidP="00737F09">
      <w:pPr>
        <w:pStyle w:val="AuditProcedureHeading"/>
        <w:numPr>
          <w:ilvl w:val="0"/>
          <w:numId w:val="45"/>
        </w:numPr>
        <w:spacing w:after="240"/>
        <w:jc w:val="both"/>
        <w:rPr>
          <w:rFonts w:cs="Arial"/>
          <w:bCs/>
          <w:szCs w:val="20"/>
        </w:rPr>
      </w:pPr>
      <w:r w:rsidRPr="00F00D94">
        <w:rPr>
          <w:rFonts w:cs="Arial"/>
          <w:szCs w:val="20"/>
        </w:rPr>
        <w:t xml:space="preserve">It is auditor judgment how to report instances where the entity either lacks having a written policy or their written policy is insufficient to meet the requirements of </w:t>
      </w:r>
      <w:r w:rsidRPr="00F00D94">
        <w:rPr>
          <w:rStyle w:val="Hyperlink"/>
          <w:rFonts w:cs="Arial"/>
          <w:color w:val="auto"/>
          <w:szCs w:val="20"/>
          <w:u w:val="none"/>
        </w:rPr>
        <w:t>2 CFR 200.318(c)(1), 2 CFR 200.318(c)(2), 2 CFR 200.320(d)(3), and 2 CFR 200.319(c)</w:t>
      </w:r>
      <w:r w:rsidRPr="00F00D94">
        <w:rPr>
          <w:rFonts w:cs="Arial"/>
          <w:szCs w:val="20"/>
        </w:rPr>
        <w:t>.</w:t>
      </w:r>
    </w:p>
    <w:p w14:paraId="32697565" w14:textId="77777777" w:rsidR="009138DB" w:rsidRPr="00F00D94" w:rsidRDefault="009138DB" w:rsidP="00737F09">
      <w:pPr>
        <w:pStyle w:val="AuditProcedureHeading"/>
        <w:numPr>
          <w:ilvl w:val="1"/>
          <w:numId w:val="45"/>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F00D94" w:rsidRDefault="009138DB" w:rsidP="00737F09">
      <w:pPr>
        <w:pStyle w:val="AuditProcedureHeading"/>
        <w:numPr>
          <w:ilvl w:val="1"/>
          <w:numId w:val="45"/>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F00D94" w:rsidRDefault="009138DB" w:rsidP="00737F09">
      <w:pPr>
        <w:pStyle w:val="ListParagraph"/>
        <w:numPr>
          <w:ilvl w:val="2"/>
          <w:numId w:val="45"/>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F00D94" w14:paraId="11E089EF" w14:textId="77777777" w:rsidTr="00E0350C">
        <w:tc>
          <w:tcPr>
            <w:tcW w:w="5000" w:type="pct"/>
            <w:shd w:val="clear" w:color="auto" w:fill="548DD4" w:themeFill="text2" w:themeFillTint="99"/>
          </w:tcPr>
          <w:p w14:paraId="5DD6BB69" w14:textId="77777777" w:rsidR="00BF5750" w:rsidRPr="00F00D94" w:rsidRDefault="00BF5750"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BF5750" w:rsidRPr="00F00D94" w14:paraId="487D98B3" w14:textId="77777777" w:rsidTr="00E0350C">
        <w:tc>
          <w:tcPr>
            <w:tcW w:w="5000" w:type="pct"/>
          </w:tcPr>
          <w:p w14:paraId="6E1840AE" w14:textId="77777777" w:rsidR="00BF5750" w:rsidRPr="00F00D94" w:rsidRDefault="00BF5750"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3764F85" w14:textId="77777777" w:rsidR="00BF5750" w:rsidRPr="00F00D94" w:rsidRDefault="00BF5750" w:rsidP="006672EA">
            <w:pPr>
              <w:pStyle w:val="AuditProcedureHeading"/>
              <w:spacing w:after="240"/>
              <w:jc w:val="both"/>
              <w:rPr>
                <w:rFonts w:cs="Arial"/>
                <w:b/>
                <w:bCs/>
                <w:szCs w:val="20"/>
                <w:u w:val="single"/>
              </w:rPr>
            </w:pPr>
          </w:p>
          <w:p w14:paraId="5CD561FA" w14:textId="77777777" w:rsidR="00BF5750" w:rsidRPr="00F00D94" w:rsidRDefault="00BF5750"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11CAAA9" w14:textId="77777777" w:rsidR="00BF5750" w:rsidRPr="00F00D94" w:rsidRDefault="00BF5750" w:rsidP="006672EA">
            <w:pPr>
              <w:pStyle w:val="AuditProcedureHeading"/>
              <w:spacing w:after="240"/>
              <w:jc w:val="both"/>
              <w:rPr>
                <w:rFonts w:cs="Arial"/>
                <w:b/>
                <w:bCs/>
                <w:szCs w:val="20"/>
                <w:u w:val="single"/>
              </w:rPr>
            </w:pPr>
          </w:p>
          <w:p w14:paraId="43CBCC04" w14:textId="77777777" w:rsidR="00BF5750" w:rsidRPr="00F00D94" w:rsidRDefault="00BF5750"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C5E9F40" w14:textId="77777777" w:rsidR="00BF5750" w:rsidRPr="00F00D94" w:rsidRDefault="00BF5750" w:rsidP="006672EA">
            <w:pPr>
              <w:spacing w:after="240"/>
              <w:jc w:val="both"/>
              <w:rPr>
                <w:rFonts w:ascii="Arial" w:hAnsi="Arial" w:cs="Arial"/>
                <w:b/>
                <w:sz w:val="20"/>
                <w:u w:val="single"/>
              </w:rPr>
            </w:pPr>
          </w:p>
          <w:p w14:paraId="551051D6" w14:textId="77777777" w:rsidR="00BF5750" w:rsidRPr="00F00D94" w:rsidRDefault="00BF5750"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95DA486" w14:textId="77777777" w:rsidR="00BF5750" w:rsidRPr="001A7A0F" w:rsidRDefault="00BF5750" w:rsidP="006672EA">
            <w:pPr>
              <w:spacing w:after="240"/>
              <w:jc w:val="both"/>
              <w:rPr>
                <w:rFonts w:ascii="Arial" w:eastAsiaTheme="minorHAnsi" w:hAnsi="Arial" w:cs="Arial"/>
                <w:sz w:val="20"/>
                <w:szCs w:val="20"/>
              </w:rPr>
            </w:pPr>
          </w:p>
        </w:tc>
      </w:tr>
    </w:tbl>
    <w:p w14:paraId="6561A7EF" w14:textId="77777777" w:rsidR="00044DD5" w:rsidRPr="00F00D94" w:rsidRDefault="00044DD5" w:rsidP="001F0603">
      <w:pPr>
        <w:spacing w:after="240"/>
        <w:rPr>
          <w:rFonts w:ascii="Arial" w:hAnsi="Arial" w:cs="Arial"/>
        </w:rPr>
      </w:pPr>
    </w:p>
    <w:p w14:paraId="03686582" w14:textId="77777777" w:rsidR="00DC3468" w:rsidRPr="00F00D94" w:rsidRDefault="00DC3468" w:rsidP="006672EA">
      <w:pPr>
        <w:pStyle w:val="Heading3"/>
        <w:jc w:val="both"/>
        <w:rPr>
          <w:rFonts w:cs="Arial"/>
        </w:rPr>
      </w:pPr>
      <w:bookmarkStart w:id="57" w:name="_Toc115942628"/>
      <w:r w:rsidRPr="00F00D94">
        <w:rPr>
          <w:rFonts w:cs="Arial"/>
        </w:rPr>
        <w:t>Suggested Audit Procedures – Compliance</w:t>
      </w:r>
      <w:bookmarkEnd w:id="57"/>
    </w:p>
    <w:tbl>
      <w:tblPr>
        <w:tblStyle w:val="TableGrid"/>
        <w:tblW w:w="5000" w:type="pct"/>
        <w:tblLook w:val="04A0" w:firstRow="1" w:lastRow="0" w:firstColumn="1" w:lastColumn="0" w:noHBand="0" w:noVBand="1"/>
      </w:tblPr>
      <w:tblGrid>
        <w:gridCol w:w="9350"/>
      </w:tblGrid>
      <w:tr w:rsidR="00BF5750" w:rsidRPr="00F00D94" w14:paraId="4F694872" w14:textId="77777777" w:rsidTr="00E0350C">
        <w:tc>
          <w:tcPr>
            <w:tcW w:w="5000" w:type="pct"/>
            <w:shd w:val="clear" w:color="auto" w:fill="548DD4" w:themeFill="text2" w:themeFillTint="99"/>
          </w:tcPr>
          <w:p w14:paraId="570AD284" w14:textId="77777777" w:rsidR="00BF5750" w:rsidRPr="00F00D94" w:rsidRDefault="00BF5750" w:rsidP="006672EA">
            <w:pPr>
              <w:pStyle w:val="AuditProcedureHeading"/>
              <w:jc w:val="both"/>
              <w:rPr>
                <w:rFonts w:cs="Arial"/>
                <w:sz w:val="28"/>
                <w:szCs w:val="28"/>
              </w:rPr>
            </w:pPr>
            <w:r w:rsidRPr="00F00D94">
              <w:rPr>
                <w:rFonts w:cs="Arial"/>
                <w:b/>
                <w:sz w:val="28"/>
                <w:szCs w:val="28"/>
              </w:rPr>
              <w:t>Suggested Audit Procedures – Compliance (Substantive Tests)</w:t>
            </w:r>
          </w:p>
          <w:p w14:paraId="553AE4D3" w14:textId="77777777" w:rsidR="00BF5750" w:rsidRPr="00F00D94" w:rsidRDefault="00BF5750"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BF5750" w:rsidRPr="00F00D94" w14:paraId="68BF3F1C" w14:textId="77777777" w:rsidTr="00E0350C">
        <w:tc>
          <w:tcPr>
            <w:tcW w:w="5000" w:type="pct"/>
          </w:tcPr>
          <w:p w14:paraId="32224BB5"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F00D94" w14:paraId="5FD4A3C2" w14:textId="77777777" w:rsidTr="00E0350C">
        <w:tc>
          <w:tcPr>
            <w:tcW w:w="5000" w:type="pct"/>
          </w:tcPr>
          <w:p w14:paraId="0BE505A5"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(Procedures 2 – 5 apply to non-Federal entities other than States.)</w:t>
            </w:r>
          </w:p>
          <w:p w14:paraId="6C1630B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Obtain the entity’s procurement policies and verify that the policies comply with the compliance requirements highlighted above.</w:t>
            </w:r>
          </w:p>
          <w:p w14:paraId="2A575836" w14:textId="77BF5E42"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Verify that the entity has written standards of conduct </w:t>
            </w:r>
            <w:r w:rsidR="00FC4DA6" w:rsidRPr="00F00D94">
              <w:rPr>
                <w:rFonts w:ascii="Arial" w:hAnsi="Arial" w:cs="Arial"/>
                <w:sz w:val="20"/>
              </w:rPr>
              <w:t xml:space="preserve">that cover </w:t>
            </w:r>
            <w:r w:rsidRPr="00F00D94">
              <w:rPr>
                <w:rFonts w:ascii="Arial" w:hAnsi="Arial" w:cs="Arial"/>
                <w:sz w:val="20"/>
              </w:rPr>
              <w:t>conflicts of interest and govern the performance of its employees engaged in the selection, award, and administration of contracts (</w:t>
            </w:r>
            <w:r w:rsidR="000023A2" w:rsidRPr="00F00D94">
              <w:rPr>
                <w:rFonts w:ascii="Arial" w:hAnsi="Arial" w:cs="Arial"/>
                <w:sz w:val="20"/>
              </w:rPr>
              <w:t>2 CFR 200.318(c)</w:t>
            </w:r>
            <w:r w:rsidRPr="00F00D94">
              <w:rPr>
                <w:rFonts w:ascii="Arial" w:hAnsi="Arial" w:cs="Arial"/>
                <w:sz w:val="20"/>
              </w:rPr>
              <w:t xml:space="preserve"> and </w:t>
            </w:r>
            <w:hyperlink r:id="rId107" w:history="1">
              <w:r w:rsidR="000023A2" w:rsidRPr="00F00D94">
                <w:rPr>
                  <w:rStyle w:val="Hyperlink"/>
                  <w:rFonts w:ascii="Arial" w:hAnsi="Arial" w:cs="Arial"/>
                  <w:sz w:val="20"/>
                </w:rPr>
                <w:t>48 CFR 52.203-13</w:t>
              </w:r>
            </w:hyperlink>
            <w:r w:rsidRPr="00F00D94">
              <w:rPr>
                <w:rFonts w:ascii="Arial" w:hAnsi="Arial" w:cs="Arial"/>
                <w:sz w:val="20"/>
              </w:rPr>
              <w:t xml:space="preserve"> and </w:t>
            </w:r>
            <w:hyperlink r:id="rId108" w:history="1">
              <w:r w:rsidRPr="00F00D94">
                <w:rPr>
                  <w:rStyle w:val="Hyperlink"/>
                  <w:rFonts w:ascii="Arial" w:hAnsi="Arial" w:cs="Arial"/>
                  <w:sz w:val="20"/>
                </w:rPr>
                <w:t>52.203-16</w:t>
              </w:r>
            </w:hyperlink>
            <w:r w:rsidRPr="00F00D94">
              <w:rPr>
                <w:rFonts w:ascii="Arial" w:hAnsi="Arial" w:cs="Arial"/>
                <w:sz w:val="20"/>
              </w:rPr>
              <w:t>).</w:t>
            </w:r>
          </w:p>
          <w:p w14:paraId="73DFDBF7" w14:textId="0390020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Ascertain if the entity has a policy to use statutorily or administratively imposed in</w:t>
            </w:r>
            <w:r w:rsidRPr="00F00D94">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r w:rsidR="000023A2" w:rsidRPr="00F00D94">
              <w:rPr>
                <w:rFonts w:ascii="Arial" w:hAnsi="Arial" w:cs="Arial"/>
                <w:sz w:val="20"/>
              </w:rPr>
              <w:t>2 CFR 200.319(c)</w:t>
            </w:r>
            <w:r w:rsidRPr="00F00D94">
              <w:rPr>
                <w:rFonts w:ascii="Arial" w:hAnsi="Arial" w:cs="Arial"/>
                <w:sz w:val="20"/>
              </w:rPr>
              <w:t>).</w:t>
            </w:r>
          </w:p>
          <w:p w14:paraId="6E06967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Select a sample of procurements and perform the following procedures:</w:t>
            </w:r>
          </w:p>
          <w:p w14:paraId="0DC6C692" w14:textId="442A5B8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r w:rsidR="000023A2" w:rsidRPr="00F00D94">
              <w:rPr>
                <w:rFonts w:ascii="Arial" w:hAnsi="Arial" w:cs="Arial"/>
                <w:sz w:val="20"/>
              </w:rPr>
              <w:t>2 CFR 200.318(i)</w:t>
            </w:r>
            <w:r w:rsidRPr="00F00D94">
              <w:rPr>
                <w:rFonts w:ascii="Arial" w:hAnsi="Arial" w:cs="Arial"/>
                <w:sz w:val="20"/>
              </w:rPr>
              <w:t xml:space="preserve"> and </w:t>
            </w:r>
            <w:hyperlink r:id="rId109" w:history="1">
              <w:r w:rsidR="000023A2" w:rsidRPr="00F00D94">
                <w:rPr>
                  <w:rStyle w:val="Hyperlink"/>
                  <w:rFonts w:ascii="Arial" w:hAnsi="Arial" w:cs="Arial"/>
                  <w:sz w:val="20"/>
                </w:rPr>
                <w:t xml:space="preserve">48 CFR Part 44 </w:t>
              </w:r>
            </w:hyperlink>
            <w:r w:rsidRPr="00F00D94">
              <w:rPr>
                <w:rFonts w:ascii="Arial" w:hAnsi="Arial" w:cs="Arial"/>
                <w:sz w:val="20"/>
              </w:rPr>
              <w:t xml:space="preserve">and </w:t>
            </w:r>
            <w:hyperlink r:id="rId110" w:history="1">
              <w:r w:rsidRPr="00F00D94">
                <w:rPr>
                  <w:rStyle w:val="Hyperlink"/>
                  <w:rFonts w:ascii="Arial" w:hAnsi="Arial" w:cs="Arial"/>
                  <w:sz w:val="20"/>
                </w:rPr>
                <w:t>52.244-2</w:t>
              </w:r>
            </w:hyperlink>
            <w:r w:rsidRPr="00F00D94">
              <w:rPr>
                <w:rFonts w:ascii="Arial" w:hAnsi="Arial" w:cs="Arial"/>
                <w:sz w:val="20"/>
              </w:rPr>
              <w:t>).</w:t>
            </w:r>
          </w:p>
          <w:p w14:paraId="1DBC8E35" w14:textId="0D6214E0"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For grants and cooperative agreements, verify that the procurement method used was appropriate based on the dollar amount and conditions specified in </w:t>
            </w:r>
            <w:r w:rsidR="000023A2" w:rsidRPr="00F00D94">
              <w:rPr>
                <w:rFonts w:ascii="Arial" w:hAnsi="Arial" w:cs="Arial"/>
                <w:sz w:val="20"/>
              </w:rPr>
              <w:t>2 CFR 200.320</w:t>
            </w:r>
            <w:r w:rsidRPr="00F00D94">
              <w:rPr>
                <w:rFonts w:ascii="Arial" w:hAnsi="Arial" w:cs="Arial"/>
                <w:sz w:val="20"/>
              </w:rPr>
              <w:t>.</w:t>
            </w:r>
            <w:r w:rsidR="000023A2" w:rsidRPr="00F00D94">
              <w:rPr>
                <w:rFonts w:ascii="Arial" w:hAnsi="Arial" w:cs="Arial"/>
                <w:sz w:val="20"/>
              </w:rPr>
              <w:t xml:space="preserve"> </w:t>
            </w:r>
            <w:r w:rsidR="00FC4DA6" w:rsidRPr="00F00D94">
              <w:rPr>
                <w:rFonts w:ascii="Arial" w:hAnsi="Arial" w:cs="Arial"/>
                <w:sz w:val="20"/>
              </w:rPr>
              <w:t xml:space="preserve">Current micro-purchase and simplified acquisition thresholds can be found in the FAR (48 CFR </w:t>
            </w:r>
            <w:r w:rsidR="000023A2" w:rsidRPr="00F00D94">
              <w:rPr>
                <w:rFonts w:ascii="Arial" w:hAnsi="Arial" w:cs="Arial"/>
                <w:sz w:val="20"/>
              </w:rPr>
              <w:t>S</w:t>
            </w:r>
            <w:r w:rsidR="00FC4DA6" w:rsidRPr="00F00D94">
              <w:rPr>
                <w:rFonts w:ascii="Arial" w:hAnsi="Arial" w:cs="Arial"/>
                <w:sz w:val="20"/>
              </w:rPr>
              <w:t xml:space="preserve">ubpart 2.1, “Definitions”) </w:t>
            </w:r>
          </w:p>
          <w:p w14:paraId="65A83F73" w14:textId="108BD4FD"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lastRenderedPageBreak/>
              <w:t>c.</w:t>
            </w:r>
            <w:r w:rsidRPr="00F00D94">
              <w:rPr>
                <w:rFonts w:ascii="Arial" w:hAnsi="Arial" w:cs="Arial"/>
                <w:sz w:val="20"/>
              </w:rPr>
              <w:tab/>
              <w:t>Verify that procurements provide full and open competition (</w:t>
            </w:r>
            <w:r w:rsidR="00E52CC0" w:rsidRPr="00F00D94">
              <w:rPr>
                <w:rFonts w:ascii="Arial" w:hAnsi="Arial" w:cs="Arial"/>
                <w:sz w:val="20"/>
              </w:rPr>
              <w:t>2 CFR 200.319</w:t>
            </w:r>
            <w:r w:rsidRPr="00F00D94">
              <w:rPr>
                <w:rFonts w:ascii="Arial" w:hAnsi="Arial" w:cs="Arial"/>
                <w:sz w:val="20"/>
              </w:rPr>
              <w:t xml:space="preserve"> and </w:t>
            </w:r>
            <w:hyperlink r:id="rId111" w:history="1">
              <w:r w:rsidR="00E52CC0" w:rsidRPr="00F00D94">
                <w:rPr>
                  <w:rStyle w:val="Hyperlink"/>
                  <w:rFonts w:ascii="Arial" w:hAnsi="Arial" w:cs="Arial"/>
                  <w:sz w:val="20"/>
                </w:rPr>
                <w:t>48 CFR 52.244-5</w:t>
              </w:r>
            </w:hyperlink>
            <w:r w:rsidRPr="00F00D94">
              <w:rPr>
                <w:rFonts w:ascii="Arial" w:hAnsi="Arial" w:cs="Arial"/>
                <w:sz w:val="20"/>
              </w:rPr>
              <w:t>).</w:t>
            </w:r>
          </w:p>
          <w:p w14:paraId="02970176" w14:textId="40322D98"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Examine documentation in support of the rationale to limit competition in those cases where competition was limited and ascertain if the limitation was justified (</w:t>
            </w:r>
            <w:r w:rsidR="00E52CC0" w:rsidRPr="00F00D94">
              <w:rPr>
                <w:rFonts w:ascii="Arial" w:hAnsi="Arial" w:cs="Arial"/>
                <w:sz w:val="20"/>
              </w:rPr>
              <w:t>2 CFR 200.319</w:t>
            </w:r>
            <w:r w:rsidRPr="00F00D94">
              <w:rPr>
                <w:rFonts w:ascii="Arial" w:hAnsi="Arial" w:cs="Arial"/>
                <w:sz w:val="20"/>
              </w:rPr>
              <w:t xml:space="preserve"> and </w:t>
            </w:r>
            <w:r w:rsidR="00E52CC0" w:rsidRPr="00F00D94">
              <w:rPr>
                <w:rFonts w:ascii="Arial" w:hAnsi="Arial" w:cs="Arial"/>
                <w:sz w:val="20"/>
              </w:rPr>
              <w:t>200.320(c)</w:t>
            </w:r>
            <w:r w:rsidRPr="00F00D94">
              <w:rPr>
                <w:rFonts w:ascii="Arial" w:hAnsi="Arial" w:cs="Arial"/>
                <w:sz w:val="20"/>
              </w:rPr>
              <w:t xml:space="preserve"> and </w:t>
            </w:r>
            <w:hyperlink r:id="rId112" w:history="1">
              <w:r w:rsidR="00E52CC0" w:rsidRPr="00F00D94">
                <w:rPr>
                  <w:rStyle w:val="Hyperlink"/>
                  <w:rFonts w:ascii="Arial" w:hAnsi="Arial" w:cs="Arial"/>
                  <w:sz w:val="20"/>
                </w:rPr>
                <w:t>48 CFR 52.244-5</w:t>
              </w:r>
            </w:hyperlink>
            <w:r w:rsidRPr="00F00D94">
              <w:rPr>
                <w:rFonts w:ascii="Arial" w:hAnsi="Arial" w:cs="Arial"/>
                <w:sz w:val="20"/>
              </w:rPr>
              <w:t>).</w:t>
            </w:r>
          </w:p>
          <w:p w14:paraId="761FC7CF" w14:textId="66BA764C"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r w:rsidR="00E52CC0" w:rsidRPr="00F00D94">
              <w:rPr>
                <w:rFonts w:ascii="Arial" w:hAnsi="Arial" w:cs="Arial"/>
                <w:sz w:val="20"/>
              </w:rPr>
              <w:t>(2 CFR 200.324</w:t>
            </w:r>
            <w:r w:rsidRPr="00F00D94">
              <w:rPr>
                <w:rFonts w:ascii="Arial" w:hAnsi="Arial" w:cs="Arial"/>
                <w:sz w:val="20"/>
              </w:rPr>
              <w:t xml:space="preserve"> and </w:t>
            </w:r>
            <w:hyperlink r:id="rId113" w:history="1">
              <w:r w:rsidR="00E52CC0" w:rsidRPr="00F00D94">
                <w:rPr>
                  <w:rStyle w:val="Hyperlink"/>
                  <w:rFonts w:ascii="Arial" w:hAnsi="Arial" w:cs="Arial"/>
                  <w:sz w:val="20"/>
                </w:rPr>
                <w:t>48 CFR 15.404-3</w:t>
              </w:r>
            </w:hyperlink>
            <w:r w:rsidRPr="00F00D94">
              <w:rPr>
                <w:rFonts w:ascii="Arial" w:hAnsi="Arial" w:cs="Arial"/>
                <w:sz w:val="20"/>
              </w:rPr>
              <w:t xml:space="preserve">).  </w:t>
            </w:r>
          </w:p>
          <w:p w14:paraId="3C413608"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b/>
            </w:r>
            <w:r w:rsidRPr="00F00D94">
              <w:rPr>
                <w:rFonts w:ascii="Arial" w:hAnsi="Arial" w:cs="Arial"/>
                <w:b/>
                <w:sz w:val="20"/>
              </w:rPr>
              <w:t>Note</w:t>
            </w:r>
            <w:r w:rsidRPr="00F00D94">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6A13FEB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Verify consent to subcontract was obtained when required by the terms and conditions of a cost reimbursement contract under the FAR (</w:t>
            </w:r>
            <w:hyperlink r:id="rId114" w:history="1">
              <w:r w:rsidR="00E52CC0" w:rsidRPr="00F00D94">
                <w:rPr>
                  <w:rStyle w:val="Hyperlink"/>
                  <w:rFonts w:ascii="Arial" w:hAnsi="Arial" w:cs="Arial"/>
                  <w:sz w:val="20"/>
                </w:rPr>
                <w:t>48 CFR 52.244-2</w:t>
              </w:r>
            </w:hyperlink>
            <w:r w:rsidRPr="00F00D94">
              <w:rPr>
                <w:rFonts w:ascii="Arial" w:hAnsi="Arial" w:cs="Arial"/>
                <w:sz w:val="20"/>
              </w:rPr>
              <w:t xml:space="preserve">). </w:t>
            </w:r>
          </w:p>
          <w:p w14:paraId="3FF29787" w14:textId="77777777" w:rsidR="00BF5750" w:rsidRPr="00F00D94" w:rsidRDefault="00BF5750" w:rsidP="0097225B">
            <w:pPr>
              <w:pStyle w:val="PlainText"/>
              <w:spacing w:after="240"/>
              <w:ind w:left="1440"/>
              <w:jc w:val="both"/>
              <w:rPr>
                <w:rFonts w:ascii="Arial" w:hAnsi="Arial" w:cs="Arial"/>
              </w:rPr>
            </w:pPr>
            <w:r w:rsidRPr="00F00D94">
              <w:rPr>
                <w:rFonts w:ascii="Arial" w:hAnsi="Arial" w:cs="Arial"/>
                <w:b/>
              </w:rPr>
              <w:t>Note</w:t>
            </w:r>
            <w:r w:rsidRPr="00F00D94">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F00D94">
              <w:rPr>
                <w:rFonts w:ascii="Arial" w:hAnsi="Arial" w:cs="Arial"/>
              </w:rPr>
              <w:t xml:space="preserve">that </w:t>
            </w:r>
            <w:r w:rsidRPr="00F00D94">
              <w:rPr>
                <w:rFonts w:ascii="Arial" w:hAnsi="Arial" w:cs="Arial"/>
              </w:rPr>
              <w:t xml:space="preserve">the approval of the purchasing system is effective for the audit period being reviewed. </w:t>
            </w:r>
          </w:p>
          <w:p w14:paraId="58BC7026" w14:textId="77777777" w:rsidR="00BF5750" w:rsidRPr="00F00D94"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(Procedures 6 and 7 apply to all non-Federal entities)</w:t>
            </w:r>
          </w:p>
          <w:p w14:paraId="50274F93" w14:textId="0593B10C" w:rsidR="00BF5750" w:rsidRPr="00F00D94"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Review the non-Federal entity’s procedures for verifying that an entity with which it plans to enter into a covered transaction is not debarred, suspended, or otherwise excluded (</w:t>
            </w:r>
            <w:r w:rsidR="00E52CC0" w:rsidRPr="00F00D94">
              <w:rPr>
                <w:rFonts w:ascii="Arial" w:hAnsi="Arial" w:cs="Arial"/>
                <w:sz w:val="20"/>
              </w:rPr>
              <w:t>2 CFR 200.213</w:t>
            </w:r>
            <w:r w:rsidRPr="00F00D94">
              <w:rPr>
                <w:rFonts w:ascii="Arial" w:hAnsi="Arial" w:cs="Arial"/>
                <w:sz w:val="20"/>
              </w:rPr>
              <w:t xml:space="preserve"> and </w:t>
            </w:r>
            <w:r w:rsidR="00E52CC0" w:rsidRPr="00F00D94">
              <w:rPr>
                <w:rFonts w:ascii="Arial" w:hAnsi="Arial" w:cs="Arial"/>
                <w:sz w:val="20"/>
              </w:rPr>
              <w:t>200.318(h)</w:t>
            </w:r>
            <w:r w:rsidRPr="00F00D94">
              <w:rPr>
                <w:rFonts w:ascii="Arial" w:hAnsi="Arial" w:cs="Arial"/>
                <w:sz w:val="20"/>
              </w:rPr>
              <w:t xml:space="preserve">; </w:t>
            </w:r>
            <w:hyperlink r:id="rId115" w:history="1">
              <w:r w:rsidR="00E52CC0" w:rsidRPr="00F00D94">
                <w:rPr>
                  <w:rStyle w:val="Hyperlink"/>
                  <w:rFonts w:ascii="Arial" w:hAnsi="Arial" w:cs="Arial"/>
                  <w:sz w:val="20"/>
                </w:rPr>
                <w:t>2 CFR 180.300</w:t>
              </w:r>
            </w:hyperlink>
            <w:r w:rsidRPr="00F00D94">
              <w:rPr>
                <w:rFonts w:ascii="Arial" w:hAnsi="Arial" w:cs="Arial"/>
                <w:sz w:val="20"/>
              </w:rPr>
              <w:t xml:space="preserve">; </w:t>
            </w:r>
            <w:hyperlink r:id="rId116" w:history="1">
              <w:r w:rsidR="00E52CC0" w:rsidRPr="00F00D94">
                <w:rPr>
                  <w:rStyle w:val="Hyperlink"/>
                  <w:rFonts w:ascii="Arial" w:hAnsi="Arial" w:cs="Arial"/>
                  <w:sz w:val="20"/>
                </w:rPr>
                <w:t>48 CFR 52.209-6</w:t>
              </w:r>
            </w:hyperlink>
            <w:r w:rsidRPr="00F00D94">
              <w:rPr>
                <w:rFonts w:ascii="Arial" w:hAnsi="Arial" w:cs="Arial"/>
                <w:sz w:val="20"/>
              </w:rPr>
              <w:t>).</w:t>
            </w:r>
          </w:p>
          <w:p w14:paraId="0F249837"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t>Select a sample of procurements and subawards and test whether the non-Federal entity followed its procedures before entering into a covered transaction.</w:t>
            </w:r>
          </w:p>
          <w:p w14:paraId="09F03958" w14:textId="77777777" w:rsidR="00BF5750" w:rsidRPr="00F00D94"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C669472" w14:textId="77777777" w:rsidR="00372EA5" w:rsidRPr="00F00D94" w:rsidRDefault="00372EA5" w:rsidP="006672EA">
      <w:pPr>
        <w:pStyle w:val="Heading3"/>
        <w:jc w:val="both"/>
        <w:rPr>
          <w:rFonts w:cs="Arial"/>
          <w:b w:val="0"/>
          <w:szCs w:val="24"/>
        </w:rPr>
      </w:pPr>
      <w:bookmarkStart w:id="58" w:name="_Toc115942629"/>
      <w:r w:rsidRPr="00F00D94">
        <w:rPr>
          <w:rFonts w:cs="Arial"/>
        </w:rPr>
        <w:t>Audit Implications Summary</w:t>
      </w:r>
      <w:bookmarkEnd w:id="58"/>
    </w:p>
    <w:tbl>
      <w:tblPr>
        <w:tblStyle w:val="TableGrid"/>
        <w:tblW w:w="5000" w:type="pct"/>
        <w:tblLook w:val="04A0" w:firstRow="1" w:lastRow="0" w:firstColumn="1" w:lastColumn="0" w:noHBand="0" w:noVBand="1"/>
      </w:tblPr>
      <w:tblGrid>
        <w:gridCol w:w="9350"/>
      </w:tblGrid>
      <w:tr w:rsidR="00372EA5" w:rsidRPr="00F00D94" w14:paraId="78EE456A" w14:textId="77777777" w:rsidTr="00E0350C">
        <w:tc>
          <w:tcPr>
            <w:tcW w:w="5000" w:type="pct"/>
            <w:shd w:val="clear" w:color="auto" w:fill="548DD4" w:themeFill="text2" w:themeFillTint="99"/>
          </w:tcPr>
          <w:p w14:paraId="4659AA7D" w14:textId="77777777" w:rsidR="00372EA5" w:rsidRPr="00F00D94" w:rsidRDefault="00372EA5"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72EA5" w:rsidRPr="00F00D94" w14:paraId="19761618" w14:textId="77777777" w:rsidTr="00E0350C">
        <w:tc>
          <w:tcPr>
            <w:tcW w:w="5000" w:type="pct"/>
          </w:tcPr>
          <w:p w14:paraId="67E9E2B3" w14:textId="77777777" w:rsidR="00372EA5" w:rsidRPr="00F00D94" w:rsidRDefault="00372EA5" w:rsidP="00737F09">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12AADC26" w14:textId="77777777" w:rsidR="00372EA5" w:rsidRPr="00F00D94" w:rsidRDefault="00372EA5" w:rsidP="006672EA">
            <w:pPr>
              <w:widowControl w:val="0"/>
              <w:spacing w:after="240"/>
              <w:ind w:left="720"/>
              <w:jc w:val="both"/>
              <w:rPr>
                <w:rFonts w:ascii="Arial" w:hAnsi="Arial" w:cs="Arial"/>
                <w:b/>
                <w:sz w:val="20"/>
              </w:rPr>
            </w:pPr>
          </w:p>
          <w:p w14:paraId="3FCC5F98" w14:textId="77777777" w:rsidR="00372EA5" w:rsidRPr="00F00D94" w:rsidRDefault="00372EA5" w:rsidP="00737F09">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Assessment of Control Risk:</w:t>
            </w:r>
          </w:p>
          <w:p w14:paraId="1E7C1021" w14:textId="77777777" w:rsidR="00372EA5" w:rsidRPr="00F00D94" w:rsidRDefault="00372EA5" w:rsidP="006672EA">
            <w:pPr>
              <w:pStyle w:val="ListParagraph"/>
              <w:spacing w:after="240"/>
              <w:jc w:val="both"/>
              <w:rPr>
                <w:rFonts w:ascii="Arial" w:hAnsi="Arial" w:cs="Arial"/>
                <w:b/>
              </w:rPr>
            </w:pPr>
          </w:p>
          <w:p w14:paraId="18838786" w14:textId="77777777" w:rsidR="00372EA5" w:rsidRPr="00F00D94" w:rsidRDefault="00372EA5" w:rsidP="00737F09">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8F2E8BD" w14:textId="77777777" w:rsidR="00372EA5" w:rsidRPr="00F00D94" w:rsidRDefault="00372EA5" w:rsidP="006672EA">
            <w:pPr>
              <w:pStyle w:val="ListParagraph"/>
              <w:spacing w:after="240"/>
              <w:jc w:val="both"/>
              <w:rPr>
                <w:rFonts w:ascii="Arial" w:hAnsi="Arial" w:cs="Arial"/>
                <w:b/>
              </w:rPr>
            </w:pPr>
          </w:p>
          <w:p w14:paraId="69D751F4" w14:textId="77777777" w:rsidR="00372EA5" w:rsidRPr="00F00D94" w:rsidRDefault="00372EA5" w:rsidP="00737F09">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46FFFCC" w14:textId="77777777" w:rsidR="00372EA5" w:rsidRPr="00F00D94" w:rsidRDefault="00372EA5" w:rsidP="006672EA">
            <w:pPr>
              <w:pStyle w:val="ListParagraph"/>
              <w:spacing w:after="240"/>
              <w:jc w:val="both"/>
              <w:rPr>
                <w:rFonts w:ascii="Arial" w:hAnsi="Arial" w:cs="Arial"/>
                <w:b/>
              </w:rPr>
            </w:pPr>
          </w:p>
          <w:p w14:paraId="57B4D5C7" w14:textId="77777777" w:rsidR="00372EA5" w:rsidRPr="00F00D94" w:rsidRDefault="00372EA5" w:rsidP="00737F09">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F7A14A0" w14:textId="77777777" w:rsidR="00372EA5" w:rsidRPr="00F00D94" w:rsidRDefault="00372EA5" w:rsidP="006672EA">
            <w:pPr>
              <w:pStyle w:val="APStepItem"/>
              <w:numPr>
                <w:ilvl w:val="0"/>
                <w:numId w:val="0"/>
              </w:numPr>
              <w:spacing w:after="240"/>
              <w:rPr>
                <w:rFonts w:cs="Arial"/>
                <w:b/>
              </w:rPr>
            </w:pPr>
          </w:p>
        </w:tc>
      </w:tr>
    </w:tbl>
    <w:p w14:paraId="623A53A2" w14:textId="77777777" w:rsidR="00372EA5" w:rsidRPr="00F00D94"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F00D94" w:rsidSect="00257772">
          <w:headerReference w:type="default" r:id="rId117"/>
          <w:pgSz w:w="12240" w:h="15840" w:code="1"/>
          <w:pgMar w:top="1440" w:right="1440" w:bottom="1440" w:left="1440" w:header="720" w:footer="720" w:gutter="0"/>
          <w:cols w:space="720"/>
          <w:noEndnote/>
        </w:sectPr>
      </w:pPr>
    </w:p>
    <w:p w14:paraId="27292665" w14:textId="77777777" w:rsidR="007E5B12" w:rsidRPr="00F00D94" w:rsidRDefault="007E5B12" w:rsidP="006672EA">
      <w:pPr>
        <w:pStyle w:val="Heading2"/>
        <w:jc w:val="both"/>
        <w:rPr>
          <w:rFonts w:cs="Arial"/>
        </w:rPr>
      </w:pPr>
      <w:bookmarkStart w:id="59" w:name="J___PROGRAM_INCOME"/>
      <w:bookmarkStart w:id="60" w:name="L___REPORTING"/>
      <w:bookmarkStart w:id="61" w:name="_Toc442267701"/>
      <w:bookmarkStart w:id="62" w:name="_Toc115942630"/>
      <w:bookmarkEnd w:id="59"/>
      <w:bookmarkEnd w:id="60"/>
      <w:r w:rsidRPr="00F00D94">
        <w:rPr>
          <w:rFonts w:cs="Arial"/>
        </w:rPr>
        <w:lastRenderedPageBreak/>
        <w:t>L.  REPORTING</w:t>
      </w:r>
      <w:bookmarkEnd w:id="61"/>
      <w:bookmarkEnd w:id="62"/>
    </w:p>
    <w:p w14:paraId="70B2BAF1" w14:textId="42F1461F"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18"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2A09FC4C" w14:textId="475CC7D8" w:rsidR="005570A7" w:rsidRPr="00F00D94" w:rsidRDefault="005570A7"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19"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13BAAFFB" w14:textId="16BE9FED" w:rsidR="007E5B12" w:rsidRPr="00F00D94" w:rsidRDefault="00261D87" w:rsidP="006672EA">
      <w:pPr>
        <w:pStyle w:val="Heading3"/>
        <w:jc w:val="both"/>
        <w:rPr>
          <w:rFonts w:cs="Arial"/>
        </w:rPr>
      </w:pPr>
      <w:bookmarkStart w:id="63" w:name="_Toc115942631"/>
      <w:r w:rsidRPr="00F00D94">
        <w:rPr>
          <w:rFonts w:cs="Arial"/>
        </w:rPr>
        <w:t xml:space="preserve">OMB </w:t>
      </w:r>
      <w:r w:rsidR="007E5B12" w:rsidRPr="00F00D94">
        <w:rPr>
          <w:rFonts w:cs="Arial"/>
        </w:rPr>
        <w:t>Compliance Requirements</w:t>
      </w:r>
      <w:bookmarkEnd w:id="63"/>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Financial Reporting</w:t>
      </w:r>
    </w:p>
    <w:p w14:paraId="60A636E8"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Recipients </w:t>
      </w:r>
      <w:r w:rsidR="00B61023" w:rsidRPr="00F00D94">
        <w:rPr>
          <w:rFonts w:ascii="Arial" w:hAnsi="Arial" w:cs="Arial"/>
          <w:sz w:val="20"/>
        </w:rPr>
        <w:t xml:space="preserve">must </w:t>
      </w:r>
      <w:r w:rsidRPr="00F00D94">
        <w:rPr>
          <w:rFonts w:ascii="Arial" w:hAnsi="Arial" w:cs="Arial"/>
          <w:sz w:val="20"/>
        </w:rPr>
        <w:t>use the standard financial reporting forms or such other forms as may be authorized by OMB (approval is indicated by an OMB paperwork control number on the form)</w:t>
      </w:r>
      <w:r w:rsidR="00B61023" w:rsidRPr="00F00D94">
        <w:rPr>
          <w:rFonts w:ascii="Arial" w:hAnsi="Arial" w:cs="Arial"/>
          <w:sz w:val="20"/>
        </w:rPr>
        <w:t xml:space="preserve"> when reporting to the Federal awarding agency</w:t>
      </w:r>
      <w:r w:rsidRPr="00F00D94">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financial reporting requirements for subrecipients are as specified by the pass-through entity.  In many cases, these will be the same as or similar to th</w:t>
      </w:r>
      <w:r w:rsidR="00B61023" w:rsidRPr="00F00D94">
        <w:rPr>
          <w:rFonts w:ascii="Arial" w:hAnsi="Arial" w:cs="Arial"/>
          <w:sz w:val="20"/>
        </w:rPr>
        <w:t>ose</w:t>
      </w:r>
      <w:r w:rsidRPr="00F00D94">
        <w:rPr>
          <w:rFonts w:ascii="Arial" w:hAnsi="Arial" w:cs="Arial"/>
          <w:sz w:val="20"/>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3C58FBB4" w14:textId="297AE27E" w:rsidR="007C3D02" w:rsidRPr="00F00D94" w:rsidRDefault="007C3D02" w:rsidP="006672EA">
      <w:pPr>
        <w:spacing w:after="240"/>
        <w:jc w:val="both"/>
        <w:rPr>
          <w:rFonts w:ascii="Arial" w:hAnsi="Arial" w:cs="Arial"/>
          <w:sz w:val="20"/>
        </w:rPr>
      </w:pPr>
      <w:r w:rsidRPr="00F00D94">
        <w:rPr>
          <w:rFonts w:ascii="Arial" w:hAnsi="Arial" w:cs="Arial"/>
          <w:sz w:val="20"/>
        </w:rPr>
        <w:t xml:space="preserve">Electronic versions of the standard forms are located on </w:t>
      </w:r>
      <w:r w:rsidR="006A69A2" w:rsidRPr="00F00D94">
        <w:rPr>
          <w:rFonts w:ascii="Arial" w:hAnsi="Arial" w:cs="Arial"/>
          <w:sz w:val="20"/>
        </w:rPr>
        <w:t xml:space="preserve">agency’s </w:t>
      </w:r>
      <w:r w:rsidRPr="00F00D94">
        <w:rPr>
          <w:rFonts w:ascii="Arial" w:hAnsi="Arial" w:cs="Arial"/>
          <w:sz w:val="20"/>
        </w:rPr>
        <w:t xml:space="preserve">home </w:t>
      </w:r>
      <w:r w:rsidR="006A69A2" w:rsidRPr="00F00D94">
        <w:rPr>
          <w:rFonts w:ascii="Arial" w:hAnsi="Arial" w:cs="Arial"/>
          <w:sz w:val="20"/>
        </w:rPr>
        <w:t>page</w:t>
      </w:r>
      <w:r w:rsidR="007638EB" w:rsidRPr="00F00D94">
        <w:rPr>
          <w:rFonts w:ascii="Arial" w:hAnsi="Arial" w:cs="Arial"/>
          <w:color w:val="000000"/>
          <w:spacing w:val="-1"/>
          <w:sz w:val="20"/>
        </w:rPr>
        <w:t>.</w:t>
      </w:r>
      <w:r w:rsidR="006A69A2" w:rsidRPr="00F00D94">
        <w:rPr>
          <w:rFonts w:ascii="Arial" w:hAnsi="Arial" w:cs="Arial"/>
          <w:color w:val="000000"/>
          <w:spacing w:val="-1"/>
          <w:sz w:val="20"/>
        </w:rPr>
        <w:t xml:space="preserve"> </w:t>
      </w:r>
      <w:r w:rsidRPr="00F00D94">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lastRenderedPageBreak/>
        <w:t>Non-Federal entities may be required to submit performance reports at least annually but not more frequently than quarterly, except in unusual circumstances</w:t>
      </w:r>
      <w:r w:rsidR="00346332" w:rsidRPr="00F00D94">
        <w:rPr>
          <w:rFonts w:ascii="Arial" w:hAnsi="Arial" w:cs="Arial"/>
          <w:sz w:val="20"/>
        </w:rPr>
        <w:t>, using a form or format authorized by OMB (</w:t>
      </w:r>
      <w:r w:rsidR="005570A7" w:rsidRPr="00F00D94">
        <w:rPr>
          <w:rFonts w:ascii="Arial" w:hAnsi="Arial" w:cs="Arial"/>
          <w:sz w:val="20"/>
        </w:rPr>
        <w:t>2 CFR 200.329(c)(1)</w:t>
      </w:r>
      <w:r w:rsidR="00346332" w:rsidRPr="00F00D94">
        <w:rPr>
          <w:rFonts w:ascii="Arial" w:hAnsi="Arial" w:cs="Arial"/>
          <w:sz w:val="20"/>
        </w:rPr>
        <w:t>)</w:t>
      </w:r>
      <w:r w:rsidRPr="00F00D94">
        <w:rPr>
          <w:rFonts w:ascii="Arial" w:hAnsi="Arial" w:cs="Arial"/>
          <w:sz w:val="20"/>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 xml:space="preserve">Compliance testing of performance and special reporting </w:t>
      </w:r>
      <w:r w:rsidR="00271D8B" w:rsidRPr="00F00D94">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sz w:val="20"/>
        </w:rPr>
        <w:t xml:space="preserve"> capable of evaluation against objec</w:t>
      </w:r>
      <w:r w:rsidR="00740DC3" w:rsidRPr="00F00D94">
        <w:rPr>
          <w:rFonts w:ascii="Arial" w:hAnsi="Arial" w:cs="Arial"/>
          <w:sz w:val="20"/>
        </w:rPr>
        <w:t>tive criteria stated in the statutes</w:t>
      </w:r>
      <w:r w:rsidRPr="00F00D94">
        <w:rPr>
          <w:rFonts w:ascii="Arial" w:hAnsi="Arial" w:cs="Arial"/>
          <w:sz w:val="20"/>
        </w:rPr>
        <w:t>, regulations, contract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Federal Funding Accountability and Transparency Act</w:t>
      </w:r>
    </w:p>
    <w:p w14:paraId="362583F7" w14:textId="558FB3D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Under the requirements of the Federal Funding Accountability and Transparency Act (Pub. L. No. 109-282), as amended by Section 6202 of P</w:t>
      </w:r>
      <w:r w:rsidR="0054010F" w:rsidRPr="00F00D94">
        <w:rPr>
          <w:rFonts w:ascii="Arial" w:hAnsi="Arial" w:cs="Arial"/>
          <w:sz w:val="20"/>
        </w:rPr>
        <w:t>ub. L. No.</w:t>
      </w:r>
      <w:r w:rsidRPr="00F00D94">
        <w:rPr>
          <w:rFonts w:ascii="Arial" w:hAnsi="Arial" w:cs="Arial"/>
          <w:sz w:val="20"/>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w:t>
      </w:r>
      <w:r w:rsidRPr="00F00D94">
        <w:rPr>
          <w:rFonts w:ascii="Arial" w:hAnsi="Arial" w:cs="Arial"/>
          <w:sz w:val="20"/>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sz w:val="20"/>
        </w:rPr>
        <w:t>f</w:t>
      </w:r>
      <w:r w:rsidRPr="00F00D94">
        <w:rPr>
          <w:rFonts w:ascii="Arial" w:hAnsi="Arial" w:cs="Arial"/>
          <w:sz w:val="20"/>
        </w:rPr>
        <w:t xml:space="preserve">ederal award received by the pass-through entity. It does not include payments to a contractor or payments to an individual that is a beneficiary of a </w:t>
      </w:r>
      <w:r w:rsidR="0054010F" w:rsidRPr="00F00D94">
        <w:rPr>
          <w:rFonts w:ascii="Arial" w:hAnsi="Arial" w:cs="Arial"/>
          <w:sz w:val="20"/>
        </w:rPr>
        <w:t>f</w:t>
      </w:r>
      <w:r w:rsidRPr="00F00D94">
        <w:rPr>
          <w:rFonts w:ascii="Arial" w:hAnsi="Arial" w:cs="Arial"/>
          <w:sz w:val="20"/>
        </w:rPr>
        <w:t>ederal program. A subaward may be provided through any form of legal agreement, including an agreement that the pass-through entity considers a contract.</w:t>
      </w:r>
    </w:p>
    <w:p w14:paraId="05954FF0"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Reporting Site</w:t>
      </w:r>
    </w:p>
    <w:p w14:paraId="1CFE23A9" w14:textId="41263AEE"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20" w:history="1">
        <w:r w:rsidRPr="00F00D94">
          <w:rPr>
            <w:rStyle w:val="Hyperlink"/>
            <w:rFonts w:ascii="Arial" w:hAnsi="Arial" w:cs="Arial"/>
            <w:sz w:val="20"/>
          </w:rPr>
          <w:t>https://www.usaspending.gov/search</w:t>
        </w:r>
      </w:hyperlink>
      <w:r w:rsidRPr="00F00D94">
        <w:rPr>
          <w:rFonts w:ascii="Arial" w:hAnsi="Arial" w:cs="Arial"/>
          <w:sz w:val="20"/>
        </w:rPr>
        <w:t xml:space="preserve"> ).</w:t>
      </w:r>
    </w:p>
    <w:p w14:paraId="6FFC6340" w14:textId="52C19531" w:rsidR="00271D8B" w:rsidRPr="00F00D94" w:rsidRDefault="00271D8B" w:rsidP="00271D8B">
      <w:pPr>
        <w:spacing w:after="240"/>
        <w:jc w:val="both"/>
        <w:rPr>
          <w:rFonts w:ascii="Arial" w:hAnsi="Arial" w:cs="Arial"/>
          <w:i/>
          <w:sz w:val="20"/>
        </w:rPr>
      </w:pPr>
      <w:r w:rsidRPr="00F00D94">
        <w:rPr>
          <w:rFonts w:ascii="Arial" w:hAnsi="Arial" w:cs="Arial"/>
          <w:i/>
          <w:sz w:val="20"/>
        </w:rPr>
        <w:t xml:space="preserve">Key </w:t>
      </w:r>
      <w:r w:rsidR="0054010F" w:rsidRPr="00F00D94">
        <w:rPr>
          <w:rFonts w:ascii="Arial" w:hAnsi="Arial" w:cs="Arial"/>
          <w:i/>
          <w:sz w:val="20"/>
        </w:rPr>
        <w:t>D</w:t>
      </w:r>
      <w:r w:rsidRPr="00F00D94">
        <w:rPr>
          <w:rFonts w:ascii="Arial" w:hAnsi="Arial" w:cs="Arial"/>
          <w:i/>
          <w:sz w:val="20"/>
        </w:rPr>
        <w:t xml:space="preserve">ata </w:t>
      </w:r>
      <w:r w:rsidR="0054010F" w:rsidRPr="00F00D94">
        <w:rPr>
          <w:rFonts w:ascii="Arial" w:hAnsi="Arial" w:cs="Arial"/>
          <w:i/>
          <w:sz w:val="20"/>
        </w:rPr>
        <w:t>E</w:t>
      </w:r>
      <w:r w:rsidRPr="00F00D94">
        <w:rPr>
          <w:rFonts w:ascii="Arial" w:hAnsi="Arial" w:cs="Arial"/>
          <w:i/>
          <w:sz w:val="20"/>
        </w:rPr>
        <w:t>lements</w:t>
      </w:r>
    </w:p>
    <w:p w14:paraId="6A431DCD" w14:textId="77777777" w:rsidR="00271D8B" w:rsidRPr="00F00D94" w:rsidRDefault="00271D8B" w:rsidP="00271D8B">
      <w:pPr>
        <w:pStyle w:val="BodyText"/>
        <w:ind w:right="501"/>
        <w:jc w:val="both"/>
        <w:rPr>
          <w:rFonts w:ascii="Arial" w:hAnsi="Arial" w:cs="Arial"/>
          <w:sz w:val="20"/>
          <w:szCs w:val="20"/>
        </w:rPr>
      </w:pPr>
      <w:r w:rsidRPr="00F00D94">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r w:rsidRPr="00F00D94">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The subawardee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The net dollar amount of federal funds awarded to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r w:rsidRPr="00F00D94">
              <w:rPr>
                <w:rFonts w:ascii="Arial" w:hAnsi="Arial" w:cs="Arial"/>
                <w:sz w:val="20"/>
                <w:szCs w:val="20"/>
              </w:rPr>
              <w:t>subawardee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r w:rsidRPr="00F00D94">
              <w:rPr>
                <w:rFonts w:ascii="Arial" w:hAnsi="Arial" w:cs="Arial"/>
                <w:sz w:val="20"/>
                <w:szCs w:val="20"/>
              </w:rPr>
              <w:t>Subawardee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 w:val="20"/>
          <w:szCs w:val="20"/>
        </w:rPr>
      </w:pPr>
    </w:p>
    <w:p w14:paraId="3BE71CA6" w14:textId="7722CE9E" w:rsidR="007C3D02" w:rsidRPr="00F00D94" w:rsidRDefault="00271D8B" w:rsidP="00271D8B">
      <w:pPr>
        <w:pStyle w:val="BodyText"/>
        <w:ind w:right="476"/>
        <w:jc w:val="both"/>
        <w:rPr>
          <w:rFonts w:ascii="Arial" w:hAnsi="Arial" w:cs="Arial"/>
          <w:sz w:val="20"/>
          <w:szCs w:val="20"/>
        </w:rPr>
      </w:pPr>
      <w:r w:rsidRPr="00F00D94">
        <w:rPr>
          <w:rFonts w:ascii="Arial" w:hAnsi="Arial" w:cs="Arial"/>
          <w:sz w:val="20"/>
          <w:szCs w:val="20"/>
        </w:rPr>
        <w:lastRenderedPageBreak/>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Source of Governing Requirements</w:t>
      </w:r>
    </w:p>
    <w:p w14:paraId="1DFF858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ascii="Arial" w:hAnsi="Arial"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ascii="Arial" w:hAnsi="Arial"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9BA36DA" w:rsidR="00A12634" w:rsidRPr="00F00D94" w:rsidRDefault="006230CF" w:rsidP="00820994">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55B73A50"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589C7C4D"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21"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22"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7D69F84E" w14:textId="70A73BB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6065AD1E" w14:textId="762BF053" w:rsidR="00EE23D1" w:rsidRPr="00EE23D1" w:rsidRDefault="00EE23D1" w:rsidP="00EE23D1">
      <w:pPr>
        <w:pStyle w:val="ListParagraph"/>
        <w:numPr>
          <w:ilvl w:val="0"/>
          <w:numId w:val="69"/>
        </w:numPr>
        <w:spacing w:after="240"/>
        <w:jc w:val="both"/>
        <w:rPr>
          <w:rFonts w:ascii="Arial" w:hAnsi="Arial" w:cs="Arial"/>
          <w:b/>
          <w:bCs/>
        </w:rPr>
      </w:pPr>
      <w:r w:rsidRPr="00EE23D1">
        <w:rPr>
          <w:rFonts w:ascii="Arial" w:hAnsi="Arial" w:cs="Arial"/>
          <w:b/>
          <w:bCs/>
        </w:rPr>
        <w:t>Financial Reporting</w:t>
      </w:r>
    </w:p>
    <w:p w14:paraId="02CAB9C6" w14:textId="77777777" w:rsidR="00EE23D1" w:rsidRDefault="00EE23D1" w:rsidP="00EE23D1">
      <w:pPr>
        <w:pStyle w:val="ListParagraph"/>
        <w:numPr>
          <w:ilvl w:val="1"/>
          <w:numId w:val="69"/>
        </w:numPr>
        <w:spacing w:after="240"/>
        <w:jc w:val="both"/>
        <w:rPr>
          <w:rFonts w:ascii="Arial" w:hAnsi="Arial" w:cs="Arial"/>
          <w:bCs/>
        </w:rPr>
      </w:pPr>
      <w:r w:rsidRPr="00EE23D1">
        <w:rPr>
          <w:rFonts w:ascii="Arial" w:hAnsi="Arial" w:cs="Arial"/>
          <w:bCs/>
          <w:i/>
        </w:rPr>
        <w:t>SF-270, Request for Advance or Reimbursement</w:t>
      </w:r>
      <w:r w:rsidRPr="00EE23D1">
        <w:rPr>
          <w:rFonts w:ascii="Arial" w:hAnsi="Arial" w:cs="Arial"/>
          <w:bCs/>
        </w:rPr>
        <w:t xml:space="preserve"> – Not Applicable</w:t>
      </w:r>
    </w:p>
    <w:p w14:paraId="56BF3DEF" w14:textId="77777777" w:rsidR="00EE23D1" w:rsidRDefault="00EE23D1" w:rsidP="00EE23D1">
      <w:pPr>
        <w:pStyle w:val="ListParagraph"/>
        <w:numPr>
          <w:ilvl w:val="1"/>
          <w:numId w:val="69"/>
        </w:numPr>
        <w:spacing w:after="240"/>
        <w:jc w:val="both"/>
        <w:rPr>
          <w:rFonts w:ascii="Arial" w:hAnsi="Arial" w:cs="Arial"/>
          <w:bCs/>
        </w:rPr>
      </w:pPr>
      <w:r w:rsidRPr="00EE23D1">
        <w:rPr>
          <w:rFonts w:ascii="Arial" w:hAnsi="Arial" w:cs="Arial"/>
          <w:bCs/>
          <w:i/>
        </w:rPr>
        <w:t>SF-271, Outlay Report and Request for Reimbursement for Construction Programs</w:t>
      </w:r>
      <w:r w:rsidRPr="00EE23D1">
        <w:rPr>
          <w:rFonts w:ascii="Arial" w:hAnsi="Arial" w:cs="Arial"/>
          <w:bCs/>
        </w:rPr>
        <w:t xml:space="preserve"> – Not Applicable</w:t>
      </w:r>
    </w:p>
    <w:p w14:paraId="48F6E383" w14:textId="77777777" w:rsidR="00EE23D1" w:rsidRDefault="00EE23D1" w:rsidP="00EE23D1">
      <w:pPr>
        <w:pStyle w:val="ListParagraph"/>
        <w:numPr>
          <w:ilvl w:val="1"/>
          <w:numId w:val="69"/>
        </w:numPr>
        <w:spacing w:after="240"/>
        <w:jc w:val="both"/>
        <w:rPr>
          <w:rFonts w:ascii="Arial" w:hAnsi="Arial" w:cs="Arial"/>
          <w:bCs/>
        </w:rPr>
      </w:pPr>
      <w:r w:rsidRPr="00EE23D1">
        <w:rPr>
          <w:rFonts w:ascii="Arial" w:hAnsi="Arial" w:cs="Arial"/>
          <w:bCs/>
          <w:i/>
        </w:rPr>
        <w:t>SF-425, Federal Financial Report</w:t>
      </w:r>
      <w:r w:rsidRPr="00EE23D1">
        <w:rPr>
          <w:rFonts w:ascii="Arial" w:hAnsi="Arial" w:cs="Arial"/>
          <w:bCs/>
        </w:rPr>
        <w:t xml:space="preserve"> – Not Applicable</w:t>
      </w:r>
    </w:p>
    <w:p w14:paraId="253F5B23" w14:textId="77777777" w:rsidR="00EE23D1" w:rsidRPr="00EE23D1" w:rsidRDefault="00EE23D1" w:rsidP="00EE23D1">
      <w:pPr>
        <w:pStyle w:val="ListParagraph"/>
        <w:numPr>
          <w:ilvl w:val="0"/>
          <w:numId w:val="69"/>
        </w:numPr>
        <w:spacing w:after="240"/>
        <w:jc w:val="both"/>
        <w:rPr>
          <w:rFonts w:ascii="Arial" w:hAnsi="Arial" w:cs="Arial"/>
          <w:b/>
          <w:bCs/>
        </w:rPr>
      </w:pPr>
      <w:r w:rsidRPr="00EE23D1">
        <w:rPr>
          <w:rFonts w:ascii="Arial" w:hAnsi="Arial" w:cs="Arial"/>
          <w:b/>
          <w:bCs/>
        </w:rPr>
        <w:t>Performance Reporting</w:t>
      </w:r>
      <w:r>
        <w:rPr>
          <w:rFonts w:ascii="Arial" w:hAnsi="Arial" w:cs="Arial"/>
          <w:b/>
          <w:bCs/>
        </w:rPr>
        <w:t xml:space="preserve"> </w:t>
      </w:r>
      <w:r w:rsidRPr="00EE23D1">
        <w:rPr>
          <w:rFonts w:ascii="Arial" w:hAnsi="Arial" w:cs="Arial"/>
          <w:bCs/>
        </w:rPr>
        <w:t>– See Special Reporting below.</w:t>
      </w:r>
    </w:p>
    <w:p w14:paraId="0A2AFCDC" w14:textId="77777777" w:rsidR="001919FF" w:rsidRDefault="00EE23D1" w:rsidP="00EE23D1">
      <w:pPr>
        <w:pStyle w:val="ListParagraph"/>
        <w:numPr>
          <w:ilvl w:val="0"/>
          <w:numId w:val="69"/>
        </w:numPr>
        <w:spacing w:after="240"/>
        <w:jc w:val="both"/>
        <w:rPr>
          <w:rFonts w:ascii="Arial" w:hAnsi="Arial" w:cs="Arial"/>
          <w:b/>
          <w:bCs/>
        </w:rPr>
      </w:pPr>
      <w:r w:rsidRPr="00EE23D1">
        <w:rPr>
          <w:rFonts w:ascii="Arial" w:hAnsi="Arial" w:cs="Arial"/>
          <w:b/>
          <w:bCs/>
        </w:rPr>
        <w:t>Special Reporting</w:t>
      </w:r>
    </w:p>
    <w:p w14:paraId="23170E95" w14:textId="77777777" w:rsidR="001919FF" w:rsidRPr="001919FF" w:rsidRDefault="00EE23D1" w:rsidP="00EE23D1">
      <w:pPr>
        <w:pStyle w:val="ListParagraph"/>
        <w:numPr>
          <w:ilvl w:val="1"/>
          <w:numId w:val="69"/>
        </w:numPr>
        <w:spacing w:after="240"/>
        <w:jc w:val="both"/>
        <w:rPr>
          <w:rFonts w:ascii="Arial" w:hAnsi="Arial" w:cs="Arial"/>
          <w:b/>
          <w:bCs/>
        </w:rPr>
      </w:pPr>
      <w:r w:rsidRPr="001919FF">
        <w:rPr>
          <w:rFonts w:ascii="Arial" w:hAnsi="Arial" w:cs="Arial"/>
          <w:bCs/>
        </w:rPr>
        <w:t>There are three types of reporting requirements for the CSLFRF program:</w:t>
      </w:r>
    </w:p>
    <w:p w14:paraId="65C71B23" w14:textId="77777777" w:rsidR="001919FF" w:rsidRPr="001919FF" w:rsidRDefault="00EE23D1" w:rsidP="00EE23D1">
      <w:pPr>
        <w:pStyle w:val="ListParagraph"/>
        <w:numPr>
          <w:ilvl w:val="2"/>
          <w:numId w:val="69"/>
        </w:numPr>
        <w:spacing w:after="240"/>
        <w:ind w:hanging="360"/>
        <w:jc w:val="both"/>
        <w:rPr>
          <w:rFonts w:ascii="Arial" w:hAnsi="Arial" w:cs="Arial"/>
          <w:b/>
          <w:bCs/>
        </w:rPr>
      </w:pPr>
      <w:r w:rsidRPr="001919FF">
        <w:rPr>
          <w:rFonts w:ascii="Arial" w:hAnsi="Arial" w:cs="Arial"/>
          <w:bCs/>
        </w:rPr>
        <w:t>Interim Report: Provide initial overview of status and uses of funding. The interim report will include a recipient’s expenditures through July 31, 2021 by category and at the summary level. The reporting requirements vary by type of recipient, the total allocation amount, and the date which the recipient first received its allocation. This is a one-time report.</w:t>
      </w:r>
    </w:p>
    <w:p w14:paraId="07F39BB6" w14:textId="77777777" w:rsidR="001919FF" w:rsidRPr="001919FF" w:rsidRDefault="00EE23D1" w:rsidP="00EE23D1">
      <w:pPr>
        <w:pStyle w:val="ListParagraph"/>
        <w:numPr>
          <w:ilvl w:val="2"/>
          <w:numId w:val="69"/>
        </w:numPr>
        <w:spacing w:after="240"/>
        <w:ind w:hanging="360"/>
        <w:jc w:val="both"/>
        <w:rPr>
          <w:rFonts w:ascii="Arial" w:hAnsi="Arial" w:cs="Arial"/>
          <w:b/>
          <w:bCs/>
        </w:rPr>
      </w:pPr>
      <w:r w:rsidRPr="001919FF">
        <w:rPr>
          <w:rFonts w:ascii="Arial" w:hAnsi="Arial" w:cs="Arial"/>
          <w:bCs/>
        </w:rPr>
        <w:lastRenderedPageBreak/>
        <w:t>Project and Expenditure Report: Report on financial data, projects funded, expenditures, and contracts and subawards over $50,000, and other information. Project and Expenditure Reports are due on a regular, recurring basis after the Interim Reports. The reporting frequency and deadlines vary by type of recipient and total allocation amount.</w:t>
      </w:r>
    </w:p>
    <w:p w14:paraId="26C3802C" w14:textId="537699B5" w:rsidR="00EE23D1" w:rsidRPr="001919FF" w:rsidRDefault="00EE23D1" w:rsidP="00EE23D1">
      <w:pPr>
        <w:pStyle w:val="ListParagraph"/>
        <w:numPr>
          <w:ilvl w:val="2"/>
          <w:numId w:val="69"/>
        </w:numPr>
        <w:spacing w:after="240"/>
        <w:ind w:hanging="360"/>
        <w:jc w:val="both"/>
        <w:rPr>
          <w:rFonts w:ascii="Arial" w:hAnsi="Arial" w:cs="Arial"/>
          <w:b/>
          <w:bCs/>
        </w:rPr>
      </w:pPr>
      <w:r w:rsidRPr="001919FF">
        <w:rPr>
          <w:rFonts w:ascii="Arial" w:hAnsi="Arial" w:cs="Arial"/>
          <w:bCs/>
        </w:rPr>
        <w:t>Recovery Plan Performance Report: The Recovery Plan Performance Report (the “Recovery Plan”) will provide information on the projects that large recipients are undertaking with program funding and how they plan to ensure program outcomes are achieved in an effective, efficient, and equitable manner. It will include key performance indicators identified by the recipient and some mandatory indicators identified by Treasury. The Recovery Plan will be posted on the website of the recipient as well as provided to Treasury.</w:t>
      </w:r>
    </w:p>
    <w:p w14:paraId="551E69D7" w14:textId="77777777" w:rsidR="001919FF" w:rsidRDefault="00EE23D1" w:rsidP="001919FF">
      <w:pPr>
        <w:spacing w:after="240"/>
        <w:ind w:left="1440"/>
        <w:jc w:val="both"/>
        <w:rPr>
          <w:rFonts w:ascii="Arial" w:hAnsi="Arial" w:cs="Arial"/>
          <w:bCs/>
          <w:sz w:val="20"/>
        </w:rPr>
      </w:pPr>
      <w:r w:rsidRPr="00EE23D1">
        <w:rPr>
          <w:rFonts w:ascii="Arial" w:hAnsi="Arial" w:cs="Arial"/>
          <w:bCs/>
          <w:sz w:val="20"/>
        </w:rPr>
        <w:t>The reporting threshold is based on the total allocation expected under the SLFRF program, not the funds received by the recipient as of the time of reporting. Treasury may extend reporting deadlines.</w:t>
      </w:r>
    </w:p>
    <w:p w14:paraId="767D1330" w14:textId="0DBE35B0" w:rsidR="00EE23D1" w:rsidRPr="00EE23D1" w:rsidRDefault="00EE23D1" w:rsidP="001919FF">
      <w:pPr>
        <w:spacing w:after="240"/>
        <w:ind w:left="1440"/>
        <w:jc w:val="both"/>
        <w:rPr>
          <w:rFonts w:ascii="Arial" w:hAnsi="Arial" w:cs="Arial"/>
          <w:bCs/>
          <w:sz w:val="20"/>
        </w:rPr>
      </w:pPr>
      <w:r w:rsidRPr="00EE23D1">
        <w:rPr>
          <w:rFonts w:ascii="Arial" w:hAnsi="Arial" w:cs="Arial"/>
          <w:bCs/>
          <w:sz w:val="20"/>
        </w:rPr>
        <w:t>Reporting requirements include which reports a recipient must file, the frequency at which the recipient must report, the covered period of reporting, and the report deadlines. Reporting requirements for each type and size of recipient can be found in Part 2, Section B of the Compliance and Reporting Guidance.</w:t>
      </w:r>
    </w:p>
    <w:p w14:paraId="6FFD2B6C" w14:textId="77777777" w:rsidR="001919FF" w:rsidRDefault="00EE23D1" w:rsidP="00EE23D1">
      <w:pPr>
        <w:pStyle w:val="ListParagraph"/>
        <w:numPr>
          <w:ilvl w:val="1"/>
          <w:numId w:val="69"/>
        </w:numPr>
        <w:spacing w:after="240"/>
        <w:jc w:val="both"/>
        <w:rPr>
          <w:rFonts w:ascii="Arial" w:hAnsi="Arial" w:cs="Arial"/>
          <w:bCs/>
        </w:rPr>
      </w:pPr>
      <w:r w:rsidRPr="001919FF">
        <w:rPr>
          <w:rFonts w:ascii="Arial" w:hAnsi="Arial" w:cs="Arial"/>
          <w:bCs/>
        </w:rPr>
        <w:t>NEUs are recipients under CSLFRF and are required to report their award expenditures on their SEFA and data collection form. The states that distributed award funds to the NEUs must not report the amounts provided to the NEUs on their SEFA.</w:t>
      </w:r>
    </w:p>
    <w:p w14:paraId="48FC12DE" w14:textId="77777777" w:rsidR="00737A57" w:rsidRDefault="00EE23D1" w:rsidP="00EE23D1">
      <w:pPr>
        <w:pStyle w:val="ListParagraph"/>
        <w:numPr>
          <w:ilvl w:val="1"/>
          <w:numId w:val="69"/>
        </w:numPr>
        <w:spacing w:after="240"/>
        <w:jc w:val="both"/>
        <w:rPr>
          <w:rFonts w:ascii="Arial" w:hAnsi="Arial" w:cs="Arial"/>
          <w:bCs/>
        </w:rPr>
      </w:pPr>
      <w:r w:rsidRPr="001919FF">
        <w:rPr>
          <w:rFonts w:ascii="Arial" w:hAnsi="Arial" w:cs="Arial"/>
          <w:bCs/>
          <w:i/>
        </w:rPr>
        <w:t>Key Line Items</w:t>
      </w:r>
      <w:r w:rsidRPr="001919FF">
        <w:rPr>
          <w:rFonts w:ascii="Arial" w:hAnsi="Arial" w:cs="Arial"/>
          <w:bCs/>
        </w:rPr>
        <w:t xml:space="preserve"> – The following line items contain critical information for the Interim Report:</w:t>
      </w:r>
    </w:p>
    <w:p w14:paraId="5E7DFC7B" w14:textId="77777777" w:rsidR="00737A57" w:rsidRDefault="00EE23D1" w:rsidP="00EE23D1">
      <w:pPr>
        <w:pStyle w:val="ListParagraph"/>
        <w:numPr>
          <w:ilvl w:val="2"/>
          <w:numId w:val="69"/>
        </w:numPr>
        <w:spacing w:after="240"/>
        <w:ind w:hanging="360"/>
        <w:jc w:val="both"/>
        <w:rPr>
          <w:rFonts w:ascii="Arial" w:hAnsi="Arial" w:cs="Arial"/>
          <w:bCs/>
        </w:rPr>
      </w:pPr>
      <w:r w:rsidRPr="00737A57">
        <w:rPr>
          <w:rFonts w:ascii="Arial" w:hAnsi="Arial" w:cs="Arial"/>
          <w:bCs/>
        </w:rPr>
        <w:t>Obligations and Expenditures</w:t>
      </w:r>
    </w:p>
    <w:p w14:paraId="0DCAB318" w14:textId="77777777" w:rsidR="00737A57" w:rsidRDefault="00EE23D1" w:rsidP="000C394D">
      <w:pPr>
        <w:pStyle w:val="ListParagraph"/>
        <w:numPr>
          <w:ilvl w:val="3"/>
          <w:numId w:val="69"/>
        </w:numPr>
        <w:jc w:val="both"/>
        <w:rPr>
          <w:rFonts w:ascii="Arial" w:hAnsi="Arial" w:cs="Arial"/>
          <w:bCs/>
        </w:rPr>
      </w:pPr>
      <w:r w:rsidRPr="00737A57">
        <w:rPr>
          <w:rFonts w:ascii="Arial" w:hAnsi="Arial" w:cs="Arial"/>
          <w:bCs/>
        </w:rPr>
        <w:t>Current period obligation</w:t>
      </w:r>
    </w:p>
    <w:p w14:paraId="15023382" w14:textId="77777777" w:rsidR="00737A57" w:rsidRDefault="00EE23D1" w:rsidP="000C394D">
      <w:pPr>
        <w:pStyle w:val="ListParagraph"/>
        <w:numPr>
          <w:ilvl w:val="3"/>
          <w:numId w:val="69"/>
        </w:numPr>
        <w:jc w:val="both"/>
        <w:rPr>
          <w:rFonts w:ascii="Arial" w:hAnsi="Arial" w:cs="Arial"/>
          <w:bCs/>
        </w:rPr>
      </w:pPr>
      <w:r w:rsidRPr="00737A57">
        <w:rPr>
          <w:rFonts w:ascii="Arial" w:hAnsi="Arial" w:cs="Arial"/>
          <w:bCs/>
        </w:rPr>
        <w:t>Cumulative obligation</w:t>
      </w:r>
    </w:p>
    <w:p w14:paraId="7AC379BF" w14:textId="77777777" w:rsidR="00737A57" w:rsidRDefault="00EE23D1" w:rsidP="000C394D">
      <w:pPr>
        <w:pStyle w:val="ListParagraph"/>
        <w:numPr>
          <w:ilvl w:val="3"/>
          <w:numId w:val="69"/>
        </w:numPr>
        <w:jc w:val="both"/>
        <w:rPr>
          <w:rFonts w:ascii="Arial" w:hAnsi="Arial" w:cs="Arial"/>
          <w:bCs/>
        </w:rPr>
      </w:pPr>
      <w:r w:rsidRPr="00737A57">
        <w:rPr>
          <w:rFonts w:ascii="Arial" w:hAnsi="Arial" w:cs="Arial"/>
          <w:bCs/>
        </w:rPr>
        <w:t>Current period expenditure</w:t>
      </w:r>
    </w:p>
    <w:p w14:paraId="1B226B21" w14:textId="77777777" w:rsidR="00737A57" w:rsidRDefault="00EE23D1" w:rsidP="00EE23D1">
      <w:pPr>
        <w:pStyle w:val="ListParagraph"/>
        <w:numPr>
          <w:ilvl w:val="3"/>
          <w:numId w:val="69"/>
        </w:numPr>
        <w:spacing w:after="240"/>
        <w:jc w:val="both"/>
        <w:rPr>
          <w:rFonts w:ascii="Arial" w:hAnsi="Arial" w:cs="Arial"/>
          <w:bCs/>
        </w:rPr>
      </w:pPr>
      <w:r w:rsidRPr="00737A57">
        <w:rPr>
          <w:rFonts w:ascii="Arial" w:hAnsi="Arial" w:cs="Arial"/>
          <w:bCs/>
        </w:rPr>
        <w:t>Cumulative expenditure</w:t>
      </w:r>
    </w:p>
    <w:p w14:paraId="74AD059F" w14:textId="77777777" w:rsidR="00737A57" w:rsidRDefault="00EE23D1" w:rsidP="00EE23D1">
      <w:pPr>
        <w:pStyle w:val="ListParagraph"/>
        <w:numPr>
          <w:ilvl w:val="1"/>
          <w:numId w:val="69"/>
        </w:numPr>
        <w:spacing w:after="240"/>
        <w:jc w:val="both"/>
        <w:rPr>
          <w:rFonts w:ascii="Arial" w:hAnsi="Arial" w:cs="Arial"/>
          <w:bCs/>
        </w:rPr>
      </w:pPr>
      <w:r w:rsidRPr="00737A57">
        <w:rPr>
          <w:rFonts w:ascii="Arial" w:hAnsi="Arial" w:cs="Arial"/>
          <w:bCs/>
          <w:i/>
        </w:rPr>
        <w:t>Key Line Items</w:t>
      </w:r>
      <w:r w:rsidRPr="00737A57">
        <w:rPr>
          <w:rFonts w:ascii="Arial" w:hAnsi="Arial" w:cs="Arial"/>
          <w:bCs/>
        </w:rPr>
        <w:t xml:space="preserve"> – The following line items contain critical information for the Project and Expenditure Report:</w:t>
      </w:r>
    </w:p>
    <w:p w14:paraId="12437FFD" w14:textId="77777777" w:rsidR="00737A57" w:rsidRDefault="00EE23D1" w:rsidP="00EE23D1">
      <w:pPr>
        <w:pStyle w:val="ListParagraph"/>
        <w:numPr>
          <w:ilvl w:val="2"/>
          <w:numId w:val="69"/>
        </w:numPr>
        <w:spacing w:after="240"/>
        <w:ind w:hanging="360"/>
        <w:jc w:val="both"/>
        <w:rPr>
          <w:rFonts w:ascii="Arial" w:hAnsi="Arial" w:cs="Arial"/>
          <w:bCs/>
        </w:rPr>
      </w:pPr>
      <w:r w:rsidRPr="00737A57">
        <w:rPr>
          <w:rFonts w:ascii="Arial" w:hAnsi="Arial" w:cs="Arial"/>
          <w:bCs/>
        </w:rPr>
        <w:t>Obligations and Expenditures</w:t>
      </w:r>
    </w:p>
    <w:p w14:paraId="7C6B49D0" w14:textId="77777777" w:rsidR="00737A57" w:rsidRDefault="00EE23D1" w:rsidP="000C394D">
      <w:pPr>
        <w:pStyle w:val="ListParagraph"/>
        <w:numPr>
          <w:ilvl w:val="3"/>
          <w:numId w:val="69"/>
        </w:numPr>
        <w:jc w:val="both"/>
        <w:rPr>
          <w:rFonts w:ascii="Arial" w:hAnsi="Arial" w:cs="Arial"/>
          <w:bCs/>
        </w:rPr>
      </w:pPr>
      <w:r w:rsidRPr="00737A57">
        <w:rPr>
          <w:rFonts w:ascii="Arial" w:hAnsi="Arial" w:cs="Arial"/>
          <w:bCs/>
        </w:rPr>
        <w:t>Current period obligation</w:t>
      </w:r>
    </w:p>
    <w:p w14:paraId="28C2C332" w14:textId="77777777" w:rsidR="00737A57" w:rsidRDefault="00EE23D1" w:rsidP="000C394D">
      <w:pPr>
        <w:pStyle w:val="ListParagraph"/>
        <w:numPr>
          <w:ilvl w:val="3"/>
          <w:numId w:val="69"/>
        </w:numPr>
        <w:jc w:val="both"/>
        <w:rPr>
          <w:rFonts w:ascii="Arial" w:hAnsi="Arial" w:cs="Arial"/>
          <w:bCs/>
        </w:rPr>
      </w:pPr>
      <w:r w:rsidRPr="00737A57">
        <w:rPr>
          <w:rFonts w:ascii="Arial" w:hAnsi="Arial" w:cs="Arial"/>
          <w:bCs/>
        </w:rPr>
        <w:t>Cumulative obligation</w:t>
      </w:r>
    </w:p>
    <w:p w14:paraId="6DAFE86E" w14:textId="77777777" w:rsidR="00737A57" w:rsidRDefault="00EE23D1" w:rsidP="000C394D">
      <w:pPr>
        <w:pStyle w:val="ListParagraph"/>
        <w:numPr>
          <w:ilvl w:val="3"/>
          <w:numId w:val="69"/>
        </w:numPr>
        <w:jc w:val="both"/>
        <w:rPr>
          <w:rFonts w:ascii="Arial" w:hAnsi="Arial" w:cs="Arial"/>
          <w:bCs/>
        </w:rPr>
      </w:pPr>
      <w:r w:rsidRPr="00737A57">
        <w:rPr>
          <w:rFonts w:ascii="Arial" w:hAnsi="Arial" w:cs="Arial"/>
          <w:bCs/>
        </w:rPr>
        <w:t>Current period expenditure</w:t>
      </w:r>
    </w:p>
    <w:p w14:paraId="55BE378A" w14:textId="77777777" w:rsidR="00737A57" w:rsidRDefault="00EE23D1" w:rsidP="00EE23D1">
      <w:pPr>
        <w:pStyle w:val="ListParagraph"/>
        <w:numPr>
          <w:ilvl w:val="3"/>
          <w:numId w:val="69"/>
        </w:numPr>
        <w:spacing w:after="240"/>
        <w:jc w:val="both"/>
        <w:rPr>
          <w:rFonts w:ascii="Arial" w:hAnsi="Arial" w:cs="Arial"/>
          <w:bCs/>
        </w:rPr>
      </w:pPr>
      <w:r w:rsidRPr="00737A57">
        <w:rPr>
          <w:rFonts w:ascii="Arial" w:hAnsi="Arial" w:cs="Arial"/>
          <w:bCs/>
        </w:rPr>
        <w:t>Cumulative expenditure</w:t>
      </w:r>
    </w:p>
    <w:p w14:paraId="5F673834" w14:textId="77777777" w:rsidR="00737A57" w:rsidRDefault="00EE23D1" w:rsidP="00EE23D1">
      <w:pPr>
        <w:pStyle w:val="ListParagraph"/>
        <w:numPr>
          <w:ilvl w:val="2"/>
          <w:numId w:val="69"/>
        </w:numPr>
        <w:spacing w:after="240"/>
        <w:ind w:hanging="360"/>
        <w:jc w:val="both"/>
        <w:rPr>
          <w:rFonts w:ascii="Arial" w:hAnsi="Arial" w:cs="Arial"/>
          <w:bCs/>
        </w:rPr>
      </w:pPr>
      <w:r w:rsidRPr="00737A57">
        <w:rPr>
          <w:rFonts w:ascii="Arial" w:hAnsi="Arial" w:cs="Arial"/>
          <w:bCs/>
        </w:rPr>
        <w:t>Subawards</w:t>
      </w:r>
    </w:p>
    <w:p w14:paraId="71AD56E6" w14:textId="77777777" w:rsidR="00737A57" w:rsidRDefault="00EE23D1" w:rsidP="00EE23D1">
      <w:pPr>
        <w:pStyle w:val="ListParagraph"/>
        <w:numPr>
          <w:ilvl w:val="2"/>
          <w:numId w:val="69"/>
        </w:numPr>
        <w:spacing w:after="240"/>
        <w:ind w:hanging="360"/>
        <w:jc w:val="both"/>
        <w:rPr>
          <w:rFonts w:ascii="Arial" w:hAnsi="Arial" w:cs="Arial"/>
          <w:bCs/>
        </w:rPr>
      </w:pPr>
      <w:r w:rsidRPr="00737A57">
        <w:rPr>
          <w:rFonts w:ascii="Arial" w:hAnsi="Arial" w:cs="Arial"/>
          <w:bCs/>
        </w:rPr>
        <w:t>Detailed information on any loans issued; contracts and grants awarded; transfers made to other government entities; and direct payments made by the recipient that are greater than $50,000. For amounts less than $50,000, the recipient must report in the aggregate for these same categories of loans issued; contracts and grants awarded; transfers made to other government entities; and direct payments made by the recipient.</w:t>
      </w:r>
    </w:p>
    <w:p w14:paraId="6412B0AD" w14:textId="77777777" w:rsidR="000C394D" w:rsidRDefault="00EE23D1" w:rsidP="00EE23D1">
      <w:pPr>
        <w:pStyle w:val="ListParagraph"/>
        <w:numPr>
          <w:ilvl w:val="1"/>
          <w:numId w:val="69"/>
        </w:numPr>
        <w:spacing w:after="240"/>
        <w:jc w:val="both"/>
        <w:rPr>
          <w:rFonts w:ascii="Arial" w:hAnsi="Arial" w:cs="Arial"/>
          <w:bCs/>
        </w:rPr>
      </w:pPr>
      <w:r w:rsidRPr="00737A57">
        <w:rPr>
          <w:rFonts w:ascii="Arial" w:hAnsi="Arial" w:cs="Arial"/>
          <w:bCs/>
          <w:i/>
        </w:rPr>
        <w:lastRenderedPageBreak/>
        <w:t>Key Line Items</w:t>
      </w:r>
      <w:r w:rsidRPr="00737A57">
        <w:rPr>
          <w:rFonts w:ascii="Arial" w:hAnsi="Arial" w:cs="Arial"/>
          <w:bCs/>
        </w:rPr>
        <w:t xml:space="preserve"> – The following line items contain critical information for the Recovery Plan Performance Report:</w:t>
      </w:r>
    </w:p>
    <w:p w14:paraId="09221856" w14:textId="77777777" w:rsidR="000C394D" w:rsidRDefault="00EE23D1" w:rsidP="00EE23D1">
      <w:pPr>
        <w:pStyle w:val="ListParagraph"/>
        <w:numPr>
          <w:ilvl w:val="2"/>
          <w:numId w:val="69"/>
        </w:numPr>
        <w:spacing w:after="240"/>
        <w:ind w:hanging="360"/>
        <w:jc w:val="both"/>
        <w:rPr>
          <w:rFonts w:ascii="Arial" w:hAnsi="Arial" w:cs="Arial"/>
          <w:bCs/>
        </w:rPr>
      </w:pPr>
      <w:r w:rsidRPr="000C394D">
        <w:rPr>
          <w:rFonts w:ascii="Arial" w:hAnsi="Arial" w:cs="Arial"/>
          <w:bCs/>
        </w:rPr>
        <w:t>Public Disclosure Link</w:t>
      </w:r>
    </w:p>
    <w:p w14:paraId="2D5421BF" w14:textId="77777777" w:rsidR="000C394D" w:rsidRDefault="00EE23D1" w:rsidP="000C394D">
      <w:pPr>
        <w:pStyle w:val="ListParagraph"/>
        <w:numPr>
          <w:ilvl w:val="3"/>
          <w:numId w:val="69"/>
        </w:numPr>
        <w:jc w:val="both"/>
        <w:rPr>
          <w:rFonts w:ascii="Arial" w:hAnsi="Arial" w:cs="Arial"/>
          <w:bCs/>
        </w:rPr>
      </w:pPr>
      <w:r w:rsidRPr="000C394D">
        <w:rPr>
          <w:rFonts w:ascii="Arial" w:hAnsi="Arial" w:cs="Arial"/>
          <w:bCs/>
        </w:rPr>
        <w:t>The URL is publicly accessible.</w:t>
      </w:r>
    </w:p>
    <w:p w14:paraId="7BC571B7" w14:textId="614BA05E" w:rsidR="00EE23D1" w:rsidRPr="000C394D" w:rsidRDefault="00EE23D1" w:rsidP="00EE23D1">
      <w:pPr>
        <w:pStyle w:val="ListParagraph"/>
        <w:numPr>
          <w:ilvl w:val="3"/>
          <w:numId w:val="69"/>
        </w:numPr>
        <w:spacing w:after="240"/>
        <w:jc w:val="both"/>
        <w:rPr>
          <w:rFonts w:ascii="Arial" w:hAnsi="Arial" w:cs="Arial"/>
          <w:bCs/>
        </w:rPr>
      </w:pPr>
      <w:r w:rsidRPr="000C394D">
        <w:rPr>
          <w:rFonts w:ascii="Arial" w:hAnsi="Arial" w:cs="Arial"/>
          <w:bCs/>
        </w:rPr>
        <w:t>The URL is prominently displayed on the main page or the main COVID response page of the recipient’s website</w:t>
      </w:r>
    </w:p>
    <w:p w14:paraId="3748E33D" w14:textId="216E3D4E" w:rsidR="00EE23D1" w:rsidRPr="00EE23D1" w:rsidRDefault="00EE23D1" w:rsidP="000C394D">
      <w:pPr>
        <w:spacing w:after="240"/>
        <w:ind w:left="720"/>
        <w:jc w:val="both"/>
        <w:rPr>
          <w:rFonts w:ascii="Arial" w:hAnsi="Arial" w:cs="Arial"/>
          <w:bCs/>
          <w:sz w:val="20"/>
        </w:rPr>
      </w:pPr>
      <w:r w:rsidRPr="00EE23D1">
        <w:rPr>
          <w:rFonts w:ascii="Arial" w:hAnsi="Arial" w:cs="Arial"/>
          <w:bCs/>
          <w:sz w:val="20"/>
        </w:rPr>
        <w:t>Please see Treasury’s Compliance and Reporting Guidance at (</w:t>
      </w:r>
      <w:hyperlink r:id="rId123" w:history="1">
        <w:r w:rsidR="000C394D" w:rsidRPr="00CD0CB2">
          <w:rPr>
            <w:rStyle w:val="Hyperlink"/>
            <w:rFonts w:ascii="Arial" w:hAnsi="Arial" w:cs="Arial"/>
            <w:bCs/>
            <w:sz w:val="20"/>
          </w:rPr>
          <w:t>https://home.treasury.gov/policy-issues/coronavirus/assistance-for-state-local-and-tribal-governments/state-and-local-fiscal-recovery-funds/recipient-compliance-and-reporting-responsibilities</w:t>
        </w:r>
      </w:hyperlink>
      <w:r w:rsidRPr="00EE23D1">
        <w:rPr>
          <w:rFonts w:ascii="Arial" w:hAnsi="Arial" w:cs="Arial"/>
          <w:bCs/>
          <w:sz w:val="20"/>
        </w:rPr>
        <w:t>)</w:t>
      </w:r>
      <w:r w:rsidR="000C394D">
        <w:rPr>
          <w:rFonts w:ascii="Arial" w:hAnsi="Arial" w:cs="Arial"/>
          <w:bCs/>
          <w:sz w:val="20"/>
        </w:rPr>
        <w:t xml:space="preserve"> </w:t>
      </w:r>
      <w:r w:rsidRPr="00EE23D1">
        <w:rPr>
          <w:rFonts w:ascii="Arial" w:hAnsi="Arial" w:cs="Arial"/>
          <w:bCs/>
          <w:sz w:val="20"/>
        </w:rPr>
        <w:t>for more information.</w:t>
      </w:r>
    </w:p>
    <w:p w14:paraId="7542B391" w14:textId="77777777" w:rsidR="000C394D" w:rsidRDefault="00EE23D1" w:rsidP="00EE23D1">
      <w:pPr>
        <w:pStyle w:val="ListParagraph"/>
        <w:numPr>
          <w:ilvl w:val="0"/>
          <w:numId w:val="69"/>
        </w:numPr>
        <w:spacing w:after="240"/>
        <w:jc w:val="both"/>
        <w:rPr>
          <w:rFonts w:ascii="Arial" w:hAnsi="Arial" w:cs="Arial"/>
          <w:b/>
          <w:bCs/>
        </w:rPr>
      </w:pPr>
      <w:r w:rsidRPr="000C394D">
        <w:rPr>
          <w:rFonts w:ascii="Arial" w:hAnsi="Arial" w:cs="Arial"/>
          <w:b/>
          <w:bCs/>
        </w:rPr>
        <w:t>Special Reporting for Federal Funding Accountability and Transparency Act (FFATA)</w:t>
      </w:r>
    </w:p>
    <w:p w14:paraId="15BAC5FD" w14:textId="77777777" w:rsidR="000C394D" w:rsidRPr="000C394D" w:rsidRDefault="00EE23D1" w:rsidP="00EE23D1">
      <w:pPr>
        <w:pStyle w:val="ListParagraph"/>
        <w:numPr>
          <w:ilvl w:val="1"/>
          <w:numId w:val="69"/>
        </w:numPr>
        <w:spacing w:after="240"/>
        <w:jc w:val="both"/>
        <w:rPr>
          <w:rFonts w:ascii="Arial" w:hAnsi="Arial" w:cs="Arial"/>
          <w:b/>
          <w:bCs/>
        </w:rPr>
      </w:pPr>
      <w:r w:rsidRPr="000C394D">
        <w:rPr>
          <w:rFonts w:ascii="Arial" w:hAnsi="Arial" w:cs="Arial"/>
          <w:bCs/>
        </w:rPr>
        <w:t>Treasury received approval from the Office of Management and Budget (OMB) to increase the subaward reporting threshold outlined in 2 CFR Part 170 from $30,000 to $50,000 for CSLFRF.</w:t>
      </w:r>
    </w:p>
    <w:p w14:paraId="2383809F" w14:textId="213BFF38" w:rsidR="00EE23D1" w:rsidRPr="000C394D" w:rsidRDefault="00EE23D1" w:rsidP="00EE23D1">
      <w:pPr>
        <w:pStyle w:val="ListParagraph"/>
        <w:numPr>
          <w:ilvl w:val="1"/>
          <w:numId w:val="69"/>
        </w:numPr>
        <w:spacing w:after="240"/>
        <w:jc w:val="both"/>
        <w:rPr>
          <w:rFonts w:ascii="Arial" w:hAnsi="Arial" w:cs="Arial"/>
          <w:b/>
          <w:bCs/>
        </w:rPr>
      </w:pPr>
      <w:r w:rsidRPr="000C394D">
        <w:rPr>
          <w:rFonts w:ascii="Arial" w:hAnsi="Arial" w:cs="Arial"/>
          <w:bCs/>
        </w:rPr>
        <w:t>Although FFATA reporting is applicable to CSLFRF, Treasury is making all required FFATA reporting on behalf of recipients. Thus, compliance with FFATA reporting requirements is not subject to audit.</w:t>
      </w:r>
    </w:p>
    <w:p w14:paraId="19C08F28" w14:textId="523DAF86" w:rsidR="00EE23D1" w:rsidRPr="00EE23D1" w:rsidRDefault="00EE23D1" w:rsidP="00EE23D1">
      <w:pPr>
        <w:spacing w:after="240"/>
        <w:jc w:val="both"/>
        <w:rPr>
          <w:rFonts w:ascii="Arial" w:hAnsi="Arial" w:cs="Arial"/>
          <w:bCs/>
          <w:i/>
          <w:sz w:val="20"/>
        </w:rPr>
      </w:pPr>
      <w:r>
        <w:rPr>
          <w:rFonts w:ascii="Arial" w:hAnsi="Arial" w:cs="Arial"/>
          <w:bCs/>
          <w:i/>
          <w:sz w:val="20"/>
        </w:rPr>
        <w:t xml:space="preserve">(Source: 2022 OMB Compliance Supplement, Part 4, Treasury, 21.027 Coronavirus State and Local Fiscal Recovery Fund) </w:t>
      </w:r>
    </w:p>
    <w:p w14:paraId="5979A865" w14:textId="77777777" w:rsidR="00703F98" w:rsidRPr="00F00D94" w:rsidRDefault="00703F98" w:rsidP="006672EA">
      <w:pPr>
        <w:pStyle w:val="Heading3"/>
        <w:jc w:val="both"/>
        <w:rPr>
          <w:rFonts w:cs="Arial"/>
        </w:rPr>
      </w:pPr>
      <w:bookmarkStart w:id="64" w:name="_Toc115942632"/>
      <w:r w:rsidRPr="00F00D94">
        <w:rPr>
          <w:rFonts w:cs="Arial"/>
        </w:rPr>
        <w:t>Additional Program Specific Information</w:t>
      </w:r>
      <w:bookmarkEnd w:id="64"/>
    </w:p>
    <w:p w14:paraId="08B31F61" w14:textId="0EAFA2FB" w:rsidR="00115904" w:rsidRPr="00F00D9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Reporting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material requirements and delete the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p>
    <w:p w14:paraId="3289C082" w14:textId="77777777" w:rsidR="00F87F25" w:rsidRPr="00F00D94" w:rsidRDefault="00A55B64" w:rsidP="006672EA">
      <w:pPr>
        <w:pStyle w:val="Heading3"/>
        <w:jc w:val="both"/>
        <w:rPr>
          <w:rFonts w:cs="Arial"/>
          <w:bCs/>
        </w:rPr>
      </w:pPr>
      <w:bookmarkStart w:id="65" w:name="_Toc115942633"/>
      <w:r w:rsidRPr="00F00D94">
        <w:rPr>
          <w:rFonts w:cs="Arial"/>
        </w:rPr>
        <w:t>Audit Objectives</w:t>
      </w:r>
      <w:r w:rsidR="00F87F25" w:rsidRPr="00F00D94">
        <w:rPr>
          <w:rFonts w:cs="Arial"/>
        </w:rPr>
        <w:t xml:space="preserve"> and Control Testing</w:t>
      </w:r>
      <w:bookmarkEnd w:id="65"/>
    </w:p>
    <w:p w14:paraId="4A51DD36" w14:textId="05A9CF90"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41A03F7A" w14:textId="77777777" w:rsidR="000E5EED" w:rsidRPr="00F00D94" w:rsidRDefault="00EB1C72" w:rsidP="00737F09">
      <w:pPr>
        <w:pStyle w:val="BodyText"/>
        <w:widowControl w:val="0"/>
        <w:numPr>
          <w:ilvl w:val="0"/>
          <w:numId w:val="50"/>
        </w:numPr>
        <w:autoSpaceDE w:val="0"/>
        <w:autoSpaceDN w:val="0"/>
        <w:spacing w:after="0"/>
        <w:rPr>
          <w:rFonts w:ascii="Arial" w:hAnsi="Arial" w:cs="Arial"/>
          <w:sz w:val="20"/>
          <w:szCs w:val="20"/>
        </w:rPr>
      </w:pPr>
      <w:hyperlink r:id="rId124"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3BB00383" w14:textId="77777777" w:rsidR="000E5EED" w:rsidRPr="00F00D94" w:rsidRDefault="00EB1C72" w:rsidP="00737F09">
      <w:pPr>
        <w:pStyle w:val="BodyText"/>
        <w:widowControl w:val="0"/>
        <w:numPr>
          <w:ilvl w:val="0"/>
          <w:numId w:val="50"/>
        </w:numPr>
        <w:autoSpaceDE w:val="0"/>
        <w:autoSpaceDN w:val="0"/>
        <w:spacing w:after="0"/>
        <w:rPr>
          <w:rFonts w:ascii="Arial" w:hAnsi="Arial" w:cs="Arial"/>
          <w:sz w:val="20"/>
          <w:szCs w:val="20"/>
        </w:rPr>
      </w:pPr>
      <w:hyperlink r:id="rId125" w:history="1">
        <w:r w:rsidR="000E5EED" w:rsidRPr="00F00D94">
          <w:rPr>
            <w:rStyle w:val="Hyperlink"/>
            <w:rFonts w:ascii="Arial" w:hAnsi="Arial" w:cs="Arial"/>
            <w:sz w:val="20"/>
            <w:szCs w:val="20"/>
          </w:rPr>
          <w:t>2013 COSO</w:t>
        </w:r>
      </w:hyperlink>
    </w:p>
    <w:p w14:paraId="6A838A69" w14:textId="77777777" w:rsidR="000E5EED" w:rsidRPr="00F00D94" w:rsidRDefault="00EB1C72" w:rsidP="00737F09">
      <w:pPr>
        <w:pStyle w:val="BodyText"/>
        <w:widowControl w:val="0"/>
        <w:numPr>
          <w:ilvl w:val="0"/>
          <w:numId w:val="50"/>
        </w:numPr>
        <w:autoSpaceDE w:val="0"/>
        <w:autoSpaceDN w:val="0"/>
        <w:rPr>
          <w:rStyle w:val="Hyperlink"/>
          <w:rFonts w:ascii="Arial" w:hAnsi="Arial" w:cs="Arial"/>
          <w:color w:val="auto"/>
          <w:sz w:val="20"/>
          <w:szCs w:val="20"/>
          <w:u w:val="none"/>
        </w:rPr>
      </w:pPr>
      <w:hyperlink r:id="rId126" w:history="1">
        <w:r w:rsidR="000E5EED" w:rsidRPr="00F00D94">
          <w:rPr>
            <w:rStyle w:val="Hyperlink"/>
            <w:rFonts w:ascii="Arial" w:hAnsi="Arial" w:cs="Arial"/>
            <w:sz w:val="20"/>
            <w:szCs w:val="20"/>
          </w:rPr>
          <w:t>GAO’s 2014 Green Book</w:t>
        </w:r>
      </w:hyperlink>
    </w:p>
    <w:p w14:paraId="5361C578"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8E178F0"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CE9820E"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52F1806" w14:textId="58F8B7CF" w:rsidR="000E5EED" w:rsidRPr="00F00D94" w:rsidRDefault="000E5EED" w:rsidP="000B4444">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required reports for federal awards include all activity of the reporting period, are supported by applicable accounting or performance records, and are fairly presented in accordance with governing requirements.</w:t>
      </w:r>
    </w:p>
    <w:p w14:paraId="4AB955D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lastRenderedPageBreak/>
        <w:t>(Source: 2022 OMB Compliance Supplement Part 3)</w:t>
      </w:r>
    </w:p>
    <w:tbl>
      <w:tblPr>
        <w:tblStyle w:val="TableGrid"/>
        <w:tblW w:w="5000" w:type="pct"/>
        <w:tblLook w:val="04A0" w:firstRow="1" w:lastRow="0" w:firstColumn="1" w:lastColumn="0" w:noHBand="0" w:noVBand="1"/>
      </w:tblPr>
      <w:tblGrid>
        <w:gridCol w:w="9350"/>
      </w:tblGrid>
      <w:tr w:rsidR="002C2985" w:rsidRPr="00F00D94" w14:paraId="1D1A68F3" w14:textId="77777777" w:rsidTr="00E0350C">
        <w:tc>
          <w:tcPr>
            <w:tcW w:w="5000" w:type="pct"/>
            <w:shd w:val="clear" w:color="auto" w:fill="548DD4" w:themeFill="text2" w:themeFillTint="99"/>
          </w:tcPr>
          <w:p w14:paraId="602C4330" w14:textId="77777777" w:rsidR="002C2985" w:rsidRPr="00F00D94" w:rsidRDefault="002C2985"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C2985" w:rsidRPr="00F00D94" w14:paraId="13C0F082" w14:textId="77777777" w:rsidTr="00E0350C">
        <w:tc>
          <w:tcPr>
            <w:tcW w:w="5000" w:type="pct"/>
          </w:tcPr>
          <w:p w14:paraId="1938E3F5"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68DF1E4" w14:textId="77777777" w:rsidR="002C2985" w:rsidRPr="00F00D94" w:rsidRDefault="002C2985" w:rsidP="006672EA">
            <w:pPr>
              <w:pStyle w:val="AuditProcedureHeading"/>
              <w:spacing w:after="240"/>
              <w:jc w:val="both"/>
              <w:rPr>
                <w:rFonts w:cs="Arial"/>
                <w:b/>
                <w:bCs/>
                <w:szCs w:val="20"/>
                <w:u w:val="single"/>
              </w:rPr>
            </w:pPr>
          </w:p>
          <w:p w14:paraId="7E858108" w14:textId="77777777" w:rsidR="002C2985" w:rsidRPr="00F00D94" w:rsidRDefault="002C2985"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62B3FB80" w14:textId="77777777" w:rsidR="002C2985" w:rsidRPr="00F00D94" w:rsidRDefault="002C2985" w:rsidP="006672EA">
            <w:pPr>
              <w:pStyle w:val="AuditProcedureHeading"/>
              <w:spacing w:after="240"/>
              <w:jc w:val="both"/>
              <w:rPr>
                <w:rFonts w:cs="Arial"/>
                <w:b/>
                <w:bCs/>
                <w:szCs w:val="20"/>
                <w:u w:val="single"/>
              </w:rPr>
            </w:pPr>
          </w:p>
          <w:p w14:paraId="2DC45769"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05A1EED" w14:textId="77777777" w:rsidR="002C2985" w:rsidRPr="00F00D94" w:rsidRDefault="002C2985" w:rsidP="006672EA">
            <w:pPr>
              <w:spacing w:after="240"/>
              <w:jc w:val="both"/>
              <w:rPr>
                <w:rFonts w:ascii="Arial" w:hAnsi="Arial" w:cs="Arial"/>
                <w:b/>
                <w:sz w:val="20"/>
                <w:u w:val="single"/>
              </w:rPr>
            </w:pPr>
          </w:p>
          <w:p w14:paraId="7C614462" w14:textId="77777777" w:rsidR="002C2985" w:rsidRPr="00F00D94" w:rsidRDefault="002C2985"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6D4563E9" w:rsidR="007C3D02" w:rsidRPr="00F00D94" w:rsidRDefault="007C3D02" w:rsidP="006672EA">
      <w:pPr>
        <w:pStyle w:val="Heading3"/>
        <w:jc w:val="both"/>
        <w:rPr>
          <w:rFonts w:cs="Arial"/>
        </w:rPr>
      </w:pPr>
      <w:bookmarkStart w:id="66" w:name="_Toc115942634"/>
      <w:r w:rsidRPr="00F00D94">
        <w:rPr>
          <w:rFonts w:cs="Arial"/>
        </w:rPr>
        <w:t>Suggested Audit Procedures – Compliance</w:t>
      </w:r>
      <w:bookmarkEnd w:id="66"/>
    </w:p>
    <w:tbl>
      <w:tblPr>
        <w:tblStyle w:val="TableGrid"/>
        <w:tblW w:w="5000" w:type="pct"/>
        <w:tblLook w:val="04A0" w:firstRow="1" w:lastRow="0" w:firstColumn="1" w:lastColumn="0" w:noHBand="0" w:noVBand="1"/>
      </w:tblPr>
      <w:tblGrid>
        <w:gridCol w:w="9350"/>
      </w:tblGrid>
      <w:tr w:rsidR="00FB3B37" w:rsidRPr="00F00D94" w14:paraId="79266125" w14:textId="77777777" w:rsidTr="00E0350C">
        <w:tc>
          <w:tcPr>
            <w:tcW w:w="5000" w:type="pct"/>
            <w:shd w:val="clear" w:color="auto" w:fill="548DD4" w:themeFill="text2" w:themeFillTint="99"/>
          </w:tcPr>
          <w:p w14:paraId="46B22B9C" w14:textId="77777777" w:rsidR="00FB3B37" w:rsidRPr="00F00D94" w:rsidRDefault="00FB3B37" w:rsidP="006672EA">
            <w:pPr>
              <w:pStyle w:val="AuditProcedureHeading"/>
              <w:jc w:val="both"/>
              <w:rPr>
                <w:rFonts w:cs="Arial"/>
                <w:sz w:val="28"/>
                <w:szCs w:val="28"/>
              </w:rPr>
            </w:pPr>
            <w:r w:rsidRPr="00F00D94">
              <w:rPr>
                <w:rFonts w:cs="Arial"/>
                <w:b/>
                <w:sz w:val="28"/>
                <w:szCs w:val="28"/>
              </w:rPr>
              <w:t>Suggested Audit Procedures – Compliance (Substantive Tests)</w:t>
            </w:r>
          </w:p>
          <w:p w14:paraId="3C3FDDA2" w14:textId="77777777" w:rsidR="00FB3B37" w:rsidRPr="00F00D94" w:rsidRDefault="00FB3B37"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FB3B37" w:rsidRPr="00F00D94" w14:paraId="3036E723" w14:textId="77777777" w:rsidTr="00E0350C">
        <w:tc>
          <w:tcPr>
            <w:tcW w:w="5000" w:type="pct"/>
          </w:tcPr>
          <w:p w14:paraId="5069CBB7" w14:textId="77777777" w:rsidR="00FB3B37" w:rsidRPr="00F00D94" w:rsidRDefault="00FB3B37" w:rsidP="006672EA">
            <w:pPr>
              <w:spacing w:after="240"/>
              <w:jc w:val="both"/>
              <w:rPr>
                <w:rFonts w:ascii="Arial" w:hAnsi="Arial" w:cs="Arial"/>
                <w:sz w:val="20"/>
              </w:rPr>
            </w:pPr>
            <w:r w:rsidRPr="00F00D94">
              <w:rPr>
                <w:rFonts w:ascii="Arial" w:hAnsi="Arial" w:cs="Arial"/>
                <w:b/>
                <w:sz w:val="20"/>
              </w:rPr>
              <w:t>Note</w:t>
            </w:r>
            <w:r w:rsidR="00163435" w:rsidRPr="00F00D94">
              <w:rPr>
                <w:rFonts w:ascii="Arial" w:hAnsi="Arial" w:cs="Arial"/>
                <w:b/>
                <w:sz w:val="20"/>
              </w:rPr>
              <w:t xml:space="preserve"> for Direct Awards Only</w:t>
            </w:r>
            <w:r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Pr="00F00D94">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766DCF2"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FB3B37" w:rsidRPr="00F00D94" w14:paraId="686FE52E" w14:textId="77777777" w:rsidTr="00E0350C">
        <w:tc>
          <w:tcPr>
            <w:tcW w:w="5000" w:type="pct"/>
          </w:tcPr>
          <w:p w14:paraId="454DFE8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p>
          <w:p w14:paraId="0967B78A"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3CFF5B5D"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 xml:space="preserve">c. </w:t>
            </w:r>
            <w:r w:rsidRPr="00F00D94">
              <w:rPr>
                <w:rFonts w:ascii="Arial" w:hAnsi="Arial" w:cs="Arial"/>
                <w:sz w:val="20"/>
              </w:rPr>
              <w:tab/>
              <w:t>Special reports for FFATA</w:t>
            </w:r>
            <w:r w:rsidR="00672704">
              <w:rPr>
                <w:rFonts w:ascii="Arial" w:hAnsi="Arial" w:cs="Arial"/>
                <w:sz w:val="20"/>
              </w:rPr>
              <w:t xml:space="preserve"> </w:t>
            </w:r>
            <w:r w:rsidR="00672704" w:rsidRPr="00672704">
              <w:rPr>
                <w:rFonts w:ascii="Arial" w:hAnsi="Arial" w:cs="Arial"/>
                <w:i/>
                <w:sz w:val="20"/>
              </w:rPr>
              <w:t>– Not applicable, FFATA reporting is made by Treasury on behalf of recipients.</w:t>
            </w: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lastRenderedPageBreak/>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14A3F6D" w14:textId="6662416D" w:rsidR="00FB3B37" w:rsidRPr="00F00D94" w:rsidRDefault="00FB3B37" w:rsidP="00672704">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b/>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tc>
      </w:tr>
    </w:tbl>
    <w:p w14:paraId="27B7F279" w14:textId="77777777" w:rsidR="007C3D02" w:rsidRPr="00F00D94" w:rsidRDefault="007C3D02" w:rsidP="001F0603">
      <w:pPr>
        <w:spacing w:after="240"/>
        <w:jc w:val="both"/>
        <w:rPr>
          <w:rFonts w:ascii="Arial" w:hAnsi="Arial" w:cs="Arial"/>
          <w:sz w:val="20"/>
        </w:rPr>
      </w:pPr>
    </w:p>
    <w:p w14:paraId="1907DD52" w14:textId="77777777" w:rsidR="00AE0C10" w:rsidRPr="00F00D94" w:rsidRDefault="00AE0C10" w:rsidP="006672EA">
      <w:pPr>
        <w:pStyle w:val="Heading3"/>
        <w:jc w:val="both"/>
        <w:rPr>
          <w:rFonts w:cs="Arial"/>
          <w:b w:val="0"/>
          <w:szCs w:val="24"/>
        </w:rPr>
      </w:pPr>
      <w:bookmarkStart w:id="67" w:name="_Toc115942635"/>
      <w:r w:rsidRPr="00F00D94">
        <w:rPr>
          <w:rFonts w:cs="Arial"/>
        </w:rPr>
        <w:t>Audit Implications Summary</w:t>
      </w:r>
      <w:bookmarkEnd w:id="67"/>
    </w:p>
    <w:tbl>
      <w:tblPr>
        <w:tblStyle w:val="TableGrid"/>
        <w:tblW w:w="5000" w:type="pct"/>
        <w:tblLook w:val="04A0" w:firstRow="1" w:lastRow="0" w:firstColumn="1" w:lastColumn="0" w:noHBand="0" w:noVBand="1"/>
      </w:tblPr>
      <w:tblGrid>
        <w:gridCol w:w="9350"/>
      </w:tblGrid>
      <w:tr w:rsidR="00AE0C10" w:rsidRPr="00F00D94" w14:paraId="01816B35" w14:textId="77777777" w:rsidTr="00E0350C">
        <w:tc>
          <w:tcPr>
            <w:tcW w:w="5000" w:type="pct"/>
            <w:shd w:val="clear" w:color="auto" w:fill="548DD4" w:themeFill="text2" w:themeFillTint="99"/>
          </w:tcPr>
          <w:p w14:paraId="5DC24943" w14:textId="77777777" w:rsidR="00AE0C10" w:rsidRPr="00F00D94" w:rsidRDefault="00AE0C10"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AE0C10" w:rsidRPr="00F00D94" w14:paraId="04E62AA9" w14:textId="77777777" w:rsidTr="00E0350C">
        <w:tc>
          <w:tcPr>
            <w:tcW w:w="5000" w:type="pct"/>
          </w:tcPr>
          <w:p w14:paraId="5CFA77E4" w14:textId="77777777" w:rsidR="00AE0C10" w:rsidRPr="00F00D94" w:rsidRDefault="00AE0C10" w:rsidP="00737F09">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0FD6430B" w14:textId="77777777" w:rsidR="00AE0C10" w:rsidRPr="00F00D94" w:rsidRDefault="00AE0C10" w:rsidP="006672EA">
            <w:pPr>
              <w:widowControl w:val="0"/>
              <w:spacing w:after="240"/>
              <w:ind w:left="720"/>
              <w:jc w:val="both"/>
              <w:rPr>
                <w:rFonts w:ascii="Arial" w:hAnsi="Arial" w:cs="Arial"/>
                <w:b/>
                <w:sz w:val="20"/>
              </w:rPr>
            </w:pPr>
          </w:p>
          <w:p w14:paraId="29D6BA70" w14:textId="77777777" w:rsidR="00AE0C10" w:rsidRPr="00F00D94" w:rsidRDefault="00AE0C10" w:rsidP="00737F09">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737F09">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737F09">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737F09">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0CFF4A72" w14:textId="77777777" w:rsidR="00476251" w:rsidRPr="00F00D94"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27"/>
          <w:pgSz w:w="12240" w:h="15840" w:code="1"/>
          <w:pgMar w:top="1440" w:right="1440" w:bottom="1440" w:left="1440" w:header="720" w:footer="720" w:gutter="0"/>
          <w:cols w:space="720"/>
          <w:noEndnote/>
        </w:sectPr>
      </w:pPr>
    </w:p>
    <w:p w14:paraId="483916AB" w14:textId="77777777" w:rsidR="007E5B12" w:rsidRPr="00F00D94" w:rsidRDefault="007E5B12" w:rsidP="006672EA">
      <w:pPr>
        <w:pStyle w:val="Heading2"/>
        <w:jc w:val="both"/>
        <w:rPr>
          <w:rFonts w:cs="Arial"/>
        </w:rPr>
      </w:pPr>
      <w:bookmarkStart w:id="68" w:name="M___SUBRECIPIENT_MONITORING__"/>
      <w:bookmarkStart w:id="69" w:name="_Toc442267702"/>
      <w:bookmarkStart w:id="70" w:name="_Toc115942636"/>
      <w:bookmarkEnd w:id="68"/>
      <w:r w:rsidRPr="00F00D94">
        <w:rPr>
          <w:rFonts w:cs="Arial"/>
        </w:rPr>
        <w:lastRenderedPageBreak/>
        <w:t>M.  SUBRECIPIENT MONITORING</w:t>
      </w:r>
      <w:bookmarkEnd w:id="69"/>
      <w:bookmarkEnd w:id="70"/>
    </w:p>
    <w:p w14:paraId="51277437" w14:textId="7DD5A2B4"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AA3131"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AA3131"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28"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511AE8DF" w14:textId="55755FD3" w:rsidR="0094238F" w:rsidRPr="00F00D94" w:rsidRDefault="0094238F"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29"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71A23081" w14:textId="07CFBE78"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b/>
          <w:bCs/>
          <w:sz w:val="20"/>
        </w:rPr>
        <w:t xml:space="preserve">Note:  </w:t>
      </w:r>
      <w:r w:rsidRPr="00F00D94">
        <w:rPr>
          <w:rFonts w:ascii="Arial" w:hAnsi="Arial" w:cs="Arial"/>
          <w:sz w:val="20"/>
        </w:rPr>
        <w:t xml:space="preserve">Transfers of Federal awards to another component of the same auditee under </w:t>
      </w:r>
      <w:r w:rsidR="0094238F" w:rsidRPr="00F00D94">
        <w:rPr>
          <w:rFonts w:ascii="Arial" w:hAnsi="Arial" w:cs="Arial"/>
          <w:sz w:val="20"/>
        </w:rPr>
        <w:t>2 CFR Part 200, Subpart F</w:t>
      </w:r>
      <w:r w:rsidR="00221CB7" w:rsidRPr="00F00D94">
        <w:rPr>
          <w:rFonts w:ascii="Arial" w:hAnsi="Arial" w:cs="Arial"/>
          <w:sz w:val="20"/>
        </w:rPr>
        <w:t>,</w:t>
      </w:r>
      <w:r w:rsidRPr="00F00D94">
        <w:rPr>
          <w:rFonts w:ascii="Arial" w:hAnsi="Arial" w:cs="Arial"/>
          <w:sz w:val="20"/>
        </w:rPr>
        <w:t xml:space="preserve"> do not constitute a subrecipient or contractor relationship.</w:t>
      </w:r>
    </w:p>
    <w:p w14:paraId="762BAC7C" w14:textId="77777777" w:rsidR="00B57D2E" w:rsidRPr="00F00D94" w:rsidRDefault="00261D87" w:rsidP="006672EA">
      <w:pPr>
        <w:pStyle w:val="Heading3"/>
        <w:jc w:val="both"/>
        <w:rPr>
          <w:rFonts w:cs="Arial"/>
        </w:rPr>
      </w:pPr>
      <w:bookmarkStart w:id="71" w:name="_Toc115942637"/>
      <w:r w:rsidRPr="00F00D94">
        <w:rPr>
          <w:rFonts w:cs="Arial"/>
        </w:rPr>
        <w:t xml:space="preserve">OMB </w:t>
      </w:r>
      <w:r w:rsidR="00B57D2E" w:rsidRPr="00F00D94">
        <w:rPr>
          <w:rFonts w:cs="Arial"/>
        </w:rPr>
        <w:t>Compliance Requirements</w:t>
      </w:r>
      <w:bookmarkEnd w:id="71"/>
    </w:p>
    <w:p w14:paraId="04851958" w14:textId="47CAA46F"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A pass-through entity (PTE) must</w:t>
      </w:r>
      <w:r w:rsidR="007E5AE3" w:rsidRPr="00F00D94">
        <w:rPr>
          <w:rFonts w:ascii="Arial" w:hAnsi="Arial" w:cs="Arial"/>
          <w:sz w:val="20"/>
        </w:rPr>
        <w:t xml:space="preserve"> (see here for </w:t>
      </w:r>
      <w:r w:rsidR="0094238F" w:rsidRPr="00F00D94">
        <w:rPr>
          <w:rFonts w:ascii="Arial" w:hAnsi="Arial" w:cs="Arial"/>
          <w:sz w:val="20"/>
        </w:rPr>
        <w:t>2 CFR 200.332(a)</w:t>
      </w:r>
      <w:r w:rsidR="007E5AE3" w:rsidRPr="00F00D94">
        <w:rPr>
          <w:rFonts w:ascii="Arial" w:hAnsi="Arial" w:cs="Arial"/>
          <w:sz w:val="20"/>
        </w:rPr>
        <w:t>)</w:t>
      </w:r>
      <w:r w:rsidRPr="00F00D94">
        <w:rPr>
          <w:rFonts w:ascii="Arial" w:hAnsi="Arial" w:cs="Arial"/>
          <w:sz w:val="20"/>
        </w:rPr>
        <w:t>:</w:t>
      </w:r>
      <w:r w:rsidRPr="00F00D94">
        <w:rPr>
          <w:rFonts w:ascii="Arial" w:hAnsi="Arial" w:cs="Arial"/>
          <w:sz w:val="20"/>
        </w:rPr>
        <w:tab/>
      </w:r>
      <w:r w:rsidRPr="00F00D94">
        <w:rPr>
          <w:rFonts w:ascii="Arial" w:hAnsi="Arial" w:cs="Arial"/>
          <w:b/>
          <w:sz w:val="20"/>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Evaluate Risk</w:t>
      </w:r>
      <w:r w:rsidRPr="00F00D94">
        <w:rPr>
          <w:rFonts w:ascii="Arial" w:hAnsi="Arial" w:cs="Arial"/>
          <w:sz w:val="20"/>
        </w:rPr>
        <w:t xml:space="preserve"> – Evaluate each subrecipient’s risk of noncompliance for purposes of determining the appropriate subrecipient monitoring related to the subaward (</w:t>
      </w:r>
      <w:r w:rsidR="00F7333D" w:rsidRPr="00F00D94">
        <w:rPr>
          <w:rFonts w:ascii="Arial" w:hAnsi="Arial" w:cs="Arial"/>
          <w:sz w:val="20"/>
        </w:rPr>
        <w:t>2 CFR 200.331(b)</w:t>
      </w:r>
      <w:r w:rsidRPr="00F00D94">
        <w:rPr>
          <w:rFonts w:ascii="Arial" w:hAnsi="Arial" w:cs="Arial"/>
          <w:sz w:val="20"/>
        </w:rPr>
        <w:t>).  This evaluation of risk may include consideration of such factors as the following</w:t>
      </w:r>
      <w:r w:rsidR="00F7333D" w:rsidRPr="00F00D94">
        <w:rPr>
          <w:rFonts w:ascii="Arial" w:hAnsi="Arial" w:cs="Arial"/>
          <w:sz w:val="20"/>
        </w:rPr>
        <w:t xml:space="preserve"> (see here for </w:t>
      </w:r>
      <w:r w:rsidR="0094238F" w:rsidRPr="00F00D94">
        <w:rPr>
          <w:rFonts w:ascii="Arial" w:hAnsi="Arial" w:cs="Arial"/>
          <w:sz w:val="20"/>
        </w:rPr>
        <w:t>2 CFR 200.332(b)-(f)</w:t>
      </w:r>
      <w:r w:rsidR="00F7333D" w:rsidRPr="00F00D94">
        <w:rPr>
          <w:rFonts w:ascii="Arial" w:hAnsi="Arial" w:cs="Arial"/>
          <w:sz w:val="20"/>
        </w:rPr>
        <w:t>)</w:t>
      </w:r>
      <w:r w:rsidRPr="00F00D94">
        <w:rPr>
          <w:rFonts w:ascii="Arial" w:hAnsi="Arial" w:cs="Arial"/>
          <w:sz w:val="20"/>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subrecipient’s prior experience with the same or similar subawards;</w:t>
      </w:r>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The results of previous audits including whether or </w:t>
      </w:r>
      <w:r w:rsidR="0005172C" w:rsidRPr="00F00D94">
        <w:rPr>
          <w:rFonts w:ascii="Arial" w:hAnsi="Arial" w:cs="Arial"/>
          <w:sz w:val="20"/>
        </w:rPr>
        <w:t>not the subrecipient receives single a</w:t>
      </w:r>
      <w:r w:rsidRPr="00F00D94">
        <w:rPr>
          <w:rFonts w:ascii="Arial" w:hAnsi="Arial" w:cs="Arial"/>
          <w:sz w:val="20"/>
        </w:rPr>
        <w:t xml:space="preserve">udit in accordance with 2 CFR </w:t>
      </w:r>
      <w:r w:rsidR="0094238F" w:rsidRPr="00F00D94">
        <w:rPr>
          <w:rFonts w:ascii="Arial" w:hAnsi="Arial" w:cs="Arial"/>
          <w:sz w:val="20"/>
        </w:rPr>
        <w:t>P</w:t>
      </w:r>
      <w:r w:rsidRPr="00F00D94">
        <w:rPr>
          <w:rFonts w:ascii="Arial" w:hAnsi="Arial" w:cs="Arial"/>
          <w:sz w:val="20"/>
        </w:rPr>
        <w:t xml:space="preserve">art 200, </w:t>
      </w:r>
      <w:r w:rsidR="0094238F" w:rsidRPr="00F00D94">
        <w:rPr>
          <w:rFonts w:ascii="Arial" w:hAnsi="Arial" w:cs="Arial"/>
          <w:sz w:val="20"/>
        </w:rPr>
        <w:t>S</w:t>
      </w:r>
      <w:r w:rsidRPr="00F00D94">
        <w:rPr>
          <w:rFonts w:ascii="Arial" w:hAnsi="Arial" w:cs="Arial"/>
          <w:sz w:val="20"/>
        </w:rPr>
        <w:t>ubpart F, and the extent to which the same or similar subaward has been audited as a major program;</w:t>
      </w:r>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extent and results of Federal awarding agency monitoring (e.g., if the subrecipient also receives Federal awards directly from a Federal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Monitor</w:t>
      </w:r>
      <w:r w:rsidRPr="00F00D94">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sz w:val="20"/>
        </w:rPr>
        <w:t>,</w:t>
      </w:r>
      <w:r w:rsidRPr="00F00D94">
        <w:rPr>
          <w:rFonts w:ascii="Arial" w:hAnsi="Arial" w:cs="Arial"/>
          <w:sz w:val="20"/>
        </w:rPr>
        <w:t xml:space="preserve"> and achieves performance goals (2 CFR 200.</w:t>
      </w:r>
      <w:r w:rsidR="00271D8B" w:rsidRPr="00F00D94">
        <w:rPr>
          <w:rFonts w:ascii="Arial" w:hAnsi="Arial" w:cs="Arial"/>
          <w:sz w:val="20"/>
        </w:rPr>
        <w:t>332</w:t>
      </w:r>
      <w:r w:rsidRPr="00F00D94">
        <w:rPr>
          <w:rFonts w:ascii="Arial" w:hAnsi="Arial" w:cs="Arial"/>
          <w:sz w:val="20"/>
        </w:rPr>
        <w:t>(d) through (f)).  In addition to procedures identified as necessary based upon the evaluation of subrecipient risk or specifically required by</w:t>
      </w:r>
      <w:r w:rsidR="009516B5" w:rsidRPr="00F00D94">
        <w:rPr>
          <w:rFonts w:ascii="Arial" w:hAnsi="Arial" w:cs="Arial"/>
          <w:sz w:val="20"/>
        </w:rPr>
        <w:t xml:space="preserve"> the terms and conditions of the award</w:t>
      </w:r>
      <w:r w:rsidRPr="00F00D94">
        <w:rPr>
          <w:rFonts w:ascii="Arial" w:hAnsi="Arial" w:cs="Arial"/>
          <w:sz w:val="20"/>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lastRenderedPageBreak/>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Issuing a management decision for audit findings pertaining to the Federal award provided to the subrecipient from the PTE as required by </w:t>
      </w:r>
      <w:r w:rsidR="0094238F" w:rsidRPr="00F00D94">
        <w:rPr>
          <w:rFonts w:ascii="Arial" w:hAnsi="Arial" w:cs="Arial"/>
          <w:sz w:val="20"/>
        </w:rPr>
        <w:t>2 CFR 200.521</w:t>
      </w:r>
      <w:r w:rsidRPr="00F00D94">
        <w:rPr>
          <w:rFonts w:ascii="Arial" w:hAnsi="Arial" w:cs="Arial"/>
          <w:sz w:val="20"/>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sz w:val="20"/>
        </w:rPr>
      </w:pPr>
      <w:r w:rsidRPr="00F00D94">
        <w:rPr>
          <w:rFonts w:ascii="Arial" w:hAnsi="Arial" w:cs="Arial"/>
          <w:i/>
          <w:sz w:val="20"/>
        </w:rPr>
        <w:t>Ensure Accountability of For-Profit Subrecipients</w:t>
      </w:r>
      <w:r w:rsidRPr="00F00D94">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F00D94">
        <w:rPr>
          <w:rFonts w:ascii="Arial" w:hAnsi="Arial" w:cs="Arial"/>
          <w:sz w:val="20"/>
        </w:rPr>
        <w:t xml:space="preserve">e 2 CFR </w:t>
      </w:r>
      <w:r w:rsidR="0094238F" w:rsidRPr="00F00D94">
        <w:rPr>
          <w:rFonts w:ascii="Arial" w:hAnsi="Arial" w:cs="Arial"/>
          <w:sz w:val="20"/>
        </w:rPr>
        <w:t>P</w:t>
      </w:r>
      <w:r w:rsidR="000D225B" w:rsidRPr="00F00D94">
        <w:rPr>
          <w:rFonts w:ascii="Arial" w:hAnsi="Arial" w:cs="Arial"/>
          <w:sz w:val="20"/>
        </w:rPr>
        <w:t xml:space="preserve">art 200 does not make </w:t>
      </w:r>
      <w:r w:rsidR="0094238F" w:rsidRPr="00F00D94">
        <w:rPr>
          <w:rFonts w:ascii="Arial" w:hAnsi="Arial" w:cs="Arial"/>
          <w:sz w:val="20"/>
        </w:rPr>
        <w:t>S</w:t>
      </w:r>
      <w:r w:rsidRPr="00F00D94">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F00D94">
        <w:rPr>
          <w:rFonts w:ascii="Arial" w:hAnsi="Arial" w:cs="Arial"/>
          <w:sz w:val="20"/>
        </w:rPr>
        <w:t xml:space="preserve">must </w:t>
      </w:r>
      <w:r w:rsidRPr="00F00D94">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sz w:val="20"/>
        </w:rPr>
        <w:t>2 CFR 200.501(h)</w:t>
      </w:r>
      <w:r w:rsidRPr="00F00D94">
        <w:rPr>
          <w:rFonts w:ascii="Arial" w:hAnsi="Arial" w:cs="Arial"/>
          <w:sz w:val="20"/>
        </w:rPr>
        <w:t xml:space="preserve">).  </w:t>
      </w:r>
    </w:p>
    <w:p w14:paraId="1D68E7F8" w14:textId="77777777" w:rsidR="00B57D2E" w:rsidRPr="00F00D94" w:rsidRDefault="00B57D2E" w:rsidP="006672EA">
      <w:pPr>
        <w:spacing w:after="240"/>
        <w:jc w:val="both"/>
        <w:rPr>
          <w:rFonts w:ascii="Arial" w:hAnsi="Arial" w:cs="Arial"/>
          <w:b/>
          <w:sz w:val="20"/>
        </w:rPr>
      </w:pPr>
      <w:r w:rsidRPr="00F00D94">
        <w:rPr>
          <w:rFonts w:ascii="Arial" w:hAnsi="Arial" w:cs="Arial"/>
          <w:b/>
          <w:sz w:val="20"/>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sz w:val="20"/>
        </w:rPr>
      </w:pPr>
      <w:r w:rsidRPr="00F00D94">
        <w:rPr>
          <w:rFonts w:ascii="Arial" w:hAnsi="Arial" w:cs="Arial"/>
          <w:sz w:val="20"/>
        </w:rPr>
        <w:t>The requirements for subrecipient monitoring for the subaward are contained in 31 USC 7502(f)(2) (Single Audit Act Amendments of 1996 (Pub. L. No. 104-156)),</w:t>
      </w:r>
      <w:r w:rsidR="00AA3131" w:rsidRPr="00F00D94">
        <w:rPr>
          <w:rFonts w:ascii="Arial" w:hAnsi="Arial" w:cs="Arial"/>
          <w:sz w:val="20"/>
        </w:rPr>
        <w:t xml:space="preserve"> </w:t>
      </w:r>
      <w:r w:rsidR="0094238F" w:rsidRPr="00F00D94">
        <w:rPr>
          <w:rFonts w:ascii="Arial" w:hAnsi="Arial" w:cs="Arial"/>
          <w:sz w:val="20"/>
        </w:rPr>
        <w:t>2 CFR 200.331, 200.332 and 200.501(h)</w:t>
      </w:r>
      <w:r w:rsidRPr="00F00D94">
        <w:rPr>
          <w:rFonts w:ascii="Arial" w:hAnsi="Arial" w:cs="Arial"/>
          <w:sz w:val="20"/>
        </w:rPr>
        <w:t xml:space="preserve">; Federal awarding agency regulations; and the terms and conditions of the award. </w:t>
      </w:r>
    </w:p>
    <w:p w14:paraId="45528215" w14:textId="0E817CA6"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09553DBE"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783E81D9"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30"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31"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53A2F680" w14:textId="462FF0EA"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4C84934F" w14:textId="628FFFB9" w:rsidR="00F64FD5" w:rsidRPr="00F64FD5" w:rsidRDefault="00F64FD5" w:rsidP="00F64FD5">
      <w:pPr>
        <w:spacing w:after="240"/>
        <w:jc w:val="both"/>
        <w:rPr>
          <w:rFonts w:ascii="Arial" w:hAnsi="Arial" w:cs="Arial"/>
          <w:bCs/>
          <w:sz w:val="20"/>
        </w:rPr>
      </w:pPr>
      <w:r w:rsidRPr="00F64FD5">
        <w:rPr>
          <w:rFonts w:ascii="Arial" w:hAnsi="Arial" w:cs="Arial"/>
          <w:bCs/>
          <w:sz w:val="20"/>
        </w:rPr>
        <w:t>Note that subrecipient monitoring is not required for entities deemed to be beneficiaries. Because non-entitlement units of local government are considered by Treasury to be direct recipients of CSLFRF (and not subrecipients or beneficiaries), states have no subrecipient monitoring responsibilities related to the funding states were required to distribute to non-entitle</w:t>
      </w:r>
      <w:r>
        <w:rPr>
          <w:rFonts w:ascii="Arial" w:hAnsi="Arial" w:cs="Arial"/>
          <w:bCs/>
          <w:sz w:val="20"/>
        </w:rPr>
        <w:t>ment units of local government.</w:t>
      </w:r>
    </w:p>
    <w:p w14:paraId="101B1AC8" w14:textId="15142D1F" w:rsidR="00F64FD5" w:rsidRPr="00F64FD5" w:rsidRDefault="00F64FD5" w:rsidP="00F64FD5">
      <w:pPr>
        <w:spacing w:after="240"/>
        <w:jc w:val="both"/>
        <w:rPr>
          <w:rFonts w:ascii="Arial" w:hAnsi="Arial" w:cs="Arial"/>
          <w:bCs/>
          <w:sz w:val="20"/>
        </w:rPr>
      </w:pPr>
      <w:r w:rsidRPr="00F64FD5">
        <w:rPr>
          <w:rFonts w:ascii="Arial" w:hAnsi="Arial" w:cs="Arial"/>
          <w:bCs/>
          <w:sz w:val="20"/>
        </w:rPr>
        <w:t>The subrecipient or beneficiary designation is an important distinction as funding provided to beneficiaries is not subject to audit pursuant to the Single Audit Act and 2 CFR Part 200, Subpart F, but funding provided to subrecipients is subject to those audit requirements. When recipients of CSLFRF provide award funds to entities to respond to the negative economic impacts of COVID-19 as end users, and not for the purpose of carrying out program requirements, the entities receiving such funding are beneficiaries of CSLFRF. Alternatively, when recipients of CSLFRF provide award funds to an entity to carry out a program on behalf of the CSLFRF recipient, the entities receiving such funding are subrecipients.</w:t>
      </w:r>
    </w:p>
    <w:p w14:paraId="527F9E8F" w14:textId="1A40EC81" w:rsidR="00F64FD5" w:rsidRDefault="00F64FD5" w:rsidP="006672EA">
      <w:pPr>
        <w:spacing w:after="240"/>
        <w:jc w:val="both"/>
        <w:rPr>
          <w:rFonts w:ascii="Arial" w:hAnsi="Arial" w:cs="Arial"/>
          <w:bCs/>
          <w:i/>
          <w:sz w:val="20"/>
        </w:rPr>
      </w:pPr>
      <w:r>
        <w:rPr>
          <w:rFonts w:ascii="Arial" w:hAnsi="Arial" w:cs="Arial"/>
          <w:bCs/>
          <w:i/>
          <w:sz w:val="20"/>
        </w:rPr>
        <w:t xml:space="preserve">(Source: 2022 OMB Compliance Supplement, Part 4, Treasury, 21.027 Coronavirus State and Local Fiscal Recovery Fund) </w:t>
      </w:r>
    </w:p>
    <w:p w14:paraId="3DCB2EC4" w14:textId="77777777" w:rsidR="00B30107" w:rsidRPr="00F00D94" w:rsidRDefault="00B30107" w:rsidP="006672EA">
      <w:pPr>
        <w:pStyle w:val="Heading3"/>
        <w:jc w:val="both"/>
        <w:rPr>
          <w:rFonts w:cs="Arial"/>
        </w:rPr>
      </w:pPr>
      <w:bookmarkStart w:id="72" w:name="_Toc115942638"/>
      <w:r w:rsidRPr="00F00D94">
        <w:rPr>
          <w:rFonts w:cs="Arial"/>
        </w:rPr>
        <w:t>Additional Program Specific Information</w:t>
      </w:r>
      <w:bookmarkEnd w:id="72"/>
    </w:p>
    <w:p w14:paraId="36CDEDC5" w14:textId="7DC944C0" w:rsidR="00B30107" w:rsidRDefault="00115904" w:rsidP="006672EA">
      <w:pP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Subrecipient Monitoring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material requirements and delete this </w:t>
      </w:r>
      <w:r w:rsidRPr="00F00D94">
        <w:rPr>
          <w:rFonts w:ascii="Arial" w:hAnsi="Arial" w:cs="Arial"/>
          <w:b/>
          <w:sz w:val="20"/>
          <w:highlight w:val="yellow"/>
        </w:rPr>
        <w:lastRenderedPageBreak/>
        <w:t>yellow highlighted text. Be sure to indicate the source of your information. If no additional requirements are noted, indicate as such.</w:t>
      </w:r>
    </w:p>
    <w:p w14:paraId="02AA7BFA" w14:textId="77777777" w:rsidR="00B613E7" w:rsidRDefault="00B613E7" w:rsidP="00B613E7">
      <w:pPr>
        <w:spacing w:after="240"/>
        <w:jc w:val="both"/>
        <w:rPr>
          <w:rFonts w:ascii="Arial" w:hAnsi="Arial" w:cs="Arial"/>
          <w:bCs/>
          <w:sz w:val="20"/>
        </w:rPr>
      </w:pPr>
      <w:r w:rsidRPr="00F64FD5">
        <w:rPr>
          <w:rFonts w:ascii="Arial" w:hAnsi="Arial" w:cs="Arial"/>
          <w:bCs/>
          <w:sz w:val="20"/>
        </w:rPr>
        <w:t>Treasury has determined that there are no</w:t>
      </w:r>
      <w:r>
        <w:rPr>
          <w:rFonts w:ascii="Arial" w:hAnsi="Arial" w:cs="Arial"/>
          <w:bCs/>
          <w:sz w:val="20"/>
        </w:rPr>
        <w:t xml:space="preserve"> </w:t>
      </w:r>
      <w:r w:rsidRPr="00F64FD5">
        <w:rPr>
          <w:rFonts w:ascii="Arial" w:hAnsi="Arial" w:cs="Arial"/>
          <w:bCs/>
          <w:sz w:val="20"/>
        </w:rPr>
        <w:t xml:space="preserve">subawards under </w:t>
      </w:r>
      <w:r>
        <w:rPr>
          <w:rFonts w:ascii="Arial" w:hAnsi="Arial" w:cs="Arial"/>
          <w:bCs/>
          <w:sz w:val="20"/>
        </w:rPr>
        <w:t>the revenue loss</w:t>
      </w:r>
      <w:r w:rsidRPr="00F64FD5">
        <w:rPr>
          <w:rFonts w:ascii="Arial" w:hAnsi="Arial" w:cs="Arial"/>
          <w:bCs/>
          <w:sz w:val="20"/>
        </w:rPr>
        <w:t xml:space="preserve"> eligible use category. The definition of subrecipient in the Uniform</w:t>
      </w:r>
      <w:r>
        <w:rPr>
          <w:rFonts w:ascii="Arial" w:hAnsi="Arial" w:cs="Arial"/>
          <w:bCs/>
          <w:sz w:val="20"/>
        </w:rPr>
        <w:t xml:space="preserve"> </w:t>
      </w:r>
      <w:r w:rsidRPr="00F64FD5">
        <w:rPr>
          <w:rFonts w:ascii="Arial" w:hAnsi="Arial" w:cs="Arial"/>
          <w:bCs/>
          <w:sz w:val="20"/>
        </w:rPr>
        <w:t>Guidance provides that a subaward is provided for the purpose of “carrying out” a portion</w:t>
      </w:r>
      <w:r>
        <w:rPr>
          <w:rFonts w:ascii="Arial" w:hAnsi="Arial" w:cs="Arial"/>
          <w:bCs/>
          <w:sz w:val="20"/>
        </w:rPr>
        <w:t xml:space="preserve"> </w:t>
      </w:r>
      <w:r w:rsidRPr="00F64FD5">
        <w:rPr>
          <w:rFonts w:ascii="Arial" w:hAnsi="Arial" w:cs="Arial"/>
          <w:bCs/>
          <w:sz w:val="20"/>
        </w:rPr>
        <w:t>of a federal award. Recipients’ use of revenue loss funds does not give rise to subrecipient</w:t>
      </w:r>
      <w:r>
        <w:rPr>
          <w:rFonts w:ascii="Arial" w:hAnsi="Arial" w:cs="Arial"/>
          <w:bCs/>
          <w:sz w:val="20"/>
        </w:rPr>
        <w:t xml:space="preserve"> </w:t>
      </w:r>
      <w:r w:rsidRPr="00F64FD5">
        <w:rPr>
          <w:rFonts w:ascii="Arial" w:hAnsi="Arial" w:cs="Arial"/>
          <w:bCs/>
          <w:sz w:val="20"/>
        </w:rPr>
        <w:t>relationships given that there is no federal program or purpose to carry out in the case of</w:t>
      </w:r>
      <w:r>
        <w:rPr>
          <w:rFonts w:ascii="Arial" w:hAnsi="Arial" w:cs="Arial"/>
          <w:bCs/>
          <w:sz w:val="20"/>
        </w:rPr>
        <w:t xml:space="preserve"> </w:t>
      </w:r>
      <w:r w:rsidRPr="00F64FD5">
        <w:rPr>
          <w:rFonts w:ascii="Arial" w:hAnsi="Arial" w:cs="Arial"/>
          <w:bCs/>
          <w:sz w:val="20"/>
        </w:rPr>
        <w:t>the revenue loss portion of the award.</w:t>
      </w:r>
    </w:p>
    <w:p w14:paraId="5A65D4E4" w14:textId="2D5F7456" w:rsidR="00B613E7" w:rsidRPr="00F00D94" w:rsidRDefault="00B613E7" w:rsidP="006672EA">
      <w:pPr>
        <w:spacing w:after="240"/>
        <w:jc w:val="both"/>
        <w:rPr>
          <w:rFonts w:ascii="Arial" w:hAnsi="Arial" w:cs="Arial"/>
          <w:b/>
          <w:sz w:val="20"/>
        </w:rPr>
      </w:pPr>
      <w:r>
        <w:rPr>
          <w:rFonts w:ascii="Arial" w:hAnsi="Arial" w:cs="Arial"/>
          <w:bCs/>
          <w:i/>
          <w:sz w:val="20"/>
        </w:rPr>
        <w:t xml:space="preserve">(Source: </w:t>
      </w:r>
      <w:hyperlink r:id="rId132" w:history="1">
        <w:r w:rsidRPr="00F64FD5">
          <w:rPr>
            <w:rStyle w:val="Hyperlink"/>
            <w:rFonts w:ascii="Arial" w:hAnsi="Arial" w:cs="Arial"/>
            <w:bCs/>
            <w:i/>
            <w:sz w:val="20"/>
          </w:rPr>
          <w:t>SLFRF Final Rule FAQs</w:t>
        </w:r>
      </w:hyperlink>
      <w:r>
        <w:rPr>
          <w:rFonts w:ascii="Arial" w:hAnsi="Arial" w:cs="Arial"/>
          <w:bCs/>
          <w:i/>
          <w:sz w:val="20"/>
        </w:rPr>
        <w:t>)</w:t>
      </w:r>
    </w:p>
    <w:p w14:paraId="2488535F" w14:textId="77777777" w:rsidR="00197FAC" w:rsidRPr="00F00D94" w:rsidRDefault="00197FAC" w:rsidP="006672EA">
      <w:pPr>
        <w:pStyle w:val="Heading3"/>
        <w:jc w:val="both"/>
        <w:rPr>
          <w:rFonts w:cs="Arial"/>
          <w:bCs/>
        </w:rPr>
      </w:pPr>
      <w:bookmarkStart w:id="73" w:name="_Toc115942639"/>
      <w:r w:rsidRPr="00F00D94">
        <w:rPr>
          <w:rFonts w:cs="Arial"/>
        </w:rPr>
        <w:t>Au</w:t>
      </w:r>
      <w:r w:rsidR="004053A3" w:rsidRPr="00F00D94">
        <w:rPr>
          <w:rFonts w:cs="Arial"/>
        </w:rPr>
        <w:t>dit Objectives</w:t>
      </w:r>
      <w:r w:rsidRPr="00F00D94">
        <w:rPr>
          <w:rFonts w:cs="Arial"/>
        </w:rPr>
        <w:t xml:space="preserve"> and Control Testing</w:t>
      </w:r>
      <w:bookmarkEnd w:id="73"/>
    </w:p>
    <w:p w14:paraId="15501A69" w14:textId="605EE5D2"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D11FD1F" w14:textId="77777777" w:rsidR="000E5EED" w:rsidRPr="00F00D94" w:rsidRDefault="00EB1C72" w:rsidP="00737F09">
      <w:pPr>
        <w:pStyle w:val="BodyText"/>
        <w:widowControl w:val="0"/>
        <w:numPr>
          <w:ilvl w:val="0"/>
          <w:numId w:val="50"/>
        </w:numPr>
        <w:autoSpaceDE w:val="0"/>
        <w:autoSpaceDN w:val="0"/>
        <w:spacing w:after="0"/>
        <w:rPr>
          <w:rFonts w:ascii="Arial" w:hAnsi="Arial" w:cs="Arial"/>
          <w:sz w:val="20"/>
          <w:szCs w:val="20"/>
        </w:rPr>
      </w:pPr>
      <w:hyperlink r:id="rId133"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762852F8" w14:textId="77777777" w:rsidR="000E5EED" w:rsidRPr="00F00D94" w:rsidRDefault="00EB1C72" w:rsidP="00737F09">
      <w:pPr>
        <w:pStyle w:val="BodyText"/>
        <w:widowControl w:val="0"/>
        <w:numPr>
          <w:ilvl w:val="0"/>
          <w:numId w:val="50"/>
        </w:numPr>
        <w:autoSpaceDE w:val="0"/>
        <w:autoSpaceDN w:val="0"/>
        <w:spacing w:after="0"/>
        <w:rPr>
          <w:rFonts w:ascii="Arial" w:hAnsi="Arial" w:cs="Arial"/>
          <w:sz w:val="20"/>
          <w:szCs w:val="20"/>
        </w:rPr>
      </w:pPr>
      <w:hyperlink r:id="rId134" w:history="1">
        <w:r w:rsidR="000E5EED" w:rsidRPr="00F00D94">
          <w:rPr>
            <w:rStyle w:val="Hyperlink"/>
            <w:rFonts w:ascii="Arial" w:hAnsi="Arial" w:cs="Arial"/>
            <w:sz w:val="20"/>
            <w:szCs w:val="20"/>
          </w:rPr>
          <w:t>2013 COSO</w:t>
        </w:r>
      </w:hyperlink>
    </w:p>
    <w:p w14:paraId="0403E397" w14:textId="77777777" w:rsidR="000E5EED" w:rsidRPr="00F00D94" w:rsidRDefault="00EB1C72" w:rsidP="00737F09">
      <w:pPr>
        <w:pStyle w:val="BodyText"/>
        <w:widowControl w:val="0"/>
        <w:numPr>
          <w:ilvl w:val="0"/>
          <w:numId w:val="50"/>
        </w:numPr>
        <w:autoSpaceDE w:val="0"/>
        <w:autoSpaceDN w:val="0"/>
        <w:rPr>
          <w:rStyle w:val="Hyperlink"/>
          <w:rFonts w:ascii="Arial" w:hAnsi="Arial" w:cs="Arial"/>
          <w:color w:val="auto"/>
          <w:sz w:val="20"/>
          <w:szCs w:val="20"/>
          <w:u w:val="none"/>
        </w:rPr>
      </w:pPr>
      <w:hyperlink r:id="rId135" w:history="1">
        <w:r w:rsidR="000E5EED" w:rsidRPr="00F00D94">
          <w:rPr>
            <w:rStyle w:val="Hyperlink"/>
            <w:rFonts w:ascii="Arial" w:hAnsi="Arial" w:cs="Arial"/>
            <w:sz w:val="20"/>
            <w:szCs w:val="20"/>
          </w:rPr>
          <w:t>GAO’s 2014 Green Book</w:t>
        </w:r>
      </w:hyperlink>
    </w:p>
    <w:p w14:paraId="243ED61F"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9A93AEE"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0C4683DF"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83DB976" w14:textId="42C41771"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Determine whether the PTE monitored subrecipient activities to provide reasonable assurance that the subrecipient administered the subaward in compliance with the terms and conditions of the subaward.</w:t>
      </w:r>
    </w:p>
    <w:p w14:paraId="4300A73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4B71BD" w:rsidRPr="00F00D94" w14:paraId="4B3DE4C7" w14:textId="77777777" w:rsidTr="00E0350C">
        <w:tc>
          <w:tcPr>
            <w:tcW w:w="5000" w:type="pct"/>
            <w:shd w:val="clear" w:color="auto" w:fill="548DD4" w:themeFill="text2" w:themeFillTint="99"/>
          </w:tcPr>
          <w:p w14:paraId="37D39668"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362BE6AB" w14:textId="77777777" w:rsidTr="00E0350C">
        <w:tc>
          <w:tcPr>
            <w:tcW w:w="5000" w:type="pct"/>
          </w:tcPr>
          <w:p w14:paraId="207E8DB2"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20EB29E" w14:textId="77777777" w:rsidR="004B71BD" w:rsidRPr="00F00D94" w:rsidRDefault="004B71BD" w:rsidP="006672EA">
            <w:pPr>
              <w:pStyle w:val="AuditProcedureHeading"/>
              <w:spacing w:after="240"/>
              <w:jc w:val="both"/>
              <w:rPr>
                <w:rFonts w:cs="Arial"/>
                <w:b/>
                <w:bCs/>
                <w:szCs w:val="20"/>
                <w:u w:val="single"/>
              </w:rPr>
            </w:pPr>
          </w:p>
          <w:p w14:paraId="78E71FC7"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5BB00F7" w14:textId="77777777" w:rsidR="004B71BD" w:rsidRPr="00F00D94" w:rsidRDefault="004B71BD" w:rsidP="006672EA">
            <w:pPr>
              <w:pStyle w:val="AuditProcedureHeading"/>
              <w:spacing w:after="240"/>
              <w:jc w:val="both"/>
              <w:rPr>
                <w:rFonts w:cs="Arial"/>
                <w:b/>
                <w:bCs/>
                <w:szCs w:val="20"/>
                <w:u w:val="single"/>
              </w:rPr>
            </w:pPr>
          </w:p>
          <w:p w14:paraId="0220DE53"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1FDBA6B" w14:textId="77777777" w:rsidR="004B71BD" w:rsidRPr="00F00D94" w:rsidRDefault="004B71BD" w:rsidP="006672EA">
            <w:pPr>
              <w:spacing w:after="240"/>
              <w:jc w:val="both"/>
              <w:rPr>
                <w:rFonts w:ascii="Arial" w:hAnsi="Arial" w:cs="Arial"/>
                <w:b/>
                <w:sz w:val="20"/>
                <w:u w:val="single"/>
              </w:rPr>
            </w:pPr>
          </w:p>
          <w:p w14:paraId="3DE5716B" w14:textId="77777777" w:rsidR="004B71BD" w:rsidRPr="00F00D94" w:rsidRDefault="004B71BD" w:rsidP="006672EA">
            <w:pPr>
              <w:spacing w:after="240"/>
              <w:jc w:val="both"/>
              <w:rPr>
                <w:rFonts w:ascii="Arial" w:hAnsi="Arial" w:cs="Arial"/>
                <w:sz w:val="20"/>
              </w:rPr>
            </w:pPr>
            <w:r w:rsidRPr="00F00D94">
              <w:rPr>
                <w:rFonts w:ascii="Arial" w:hAnsi="Arial" w:cs="Arial"/>
                <w:b/>
                <w:sz w:val="20"/>
                <w:u w:val="single"/>
              </w:rPr>
              <w:lastRenderedPageBreak/>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0749D2E2" w14:textId="77777777" w:rsidR="004B71BD" w:rsidRPr="001A7A0F" w:rsidRDefault="004B71BD" w:rsidP="006672EA">
            <w:pPr>
              <w:spacing w:after="240"/>
              <w:jc w:val="both"/>
              <w:rPr>
                <w:rFonts w:ascii="Arial" w:eastAsiaTheme="minorHAnsi" w:hAnsi="Arial" w:cs="Arial"/>
                <w:sz w:val="20"/>
                <w:szCs w:val="20"/>
              </w:rPr>
            </w:pP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77777777" w:rsidR="00B57D2E" w:rsidRPr="00F00D94" w:rsidRDefault="00B57D2E" w:rsidP="006672EA">
      <w:pPr>
        <w:pStyle w:val="Heading3"/>
        <w:jc w:val="both"/>
        <w:rPr>
          <w:rFonts w:cs="Arial"/>
        </w:rPr>
      </w:pPr>
      <w:bookmarkStart w:id="74" w:name="_Toc115942640"/>
      <w:r w:rsidRPr="00F00D94">
        <w:rPr>
          <w:rFonts w:cs="Arial"/>
        </w:rPr>
        <w:t>Suggested Audit Procedures – Compliance</w:t>
      </w:r>
      <w:bookmarkEnd w:id="74"/>
    </w:p>
    <w:tbl>
      <w:tblPr>
        <w:tblStyle w:val="TableGrid"/>
        <w:tblW w:w="5000" w:type="pct"/>
        <w:tblLook w:val="04A0" w:firstRow="1" w:lastRow="0" w:firstColumn="1" w:lastColumn="0" w:noHBand="0" w:noVBand="1"/>
      </w:tblPr>
      <w:tblGrid>
        <w:gridCol w:w="9350"/>
      </w:tblGrid>
      <w:tr w:rsidR="004B71BD" w:rsidRPr="00F00D94" w14:paraId="66ED9B3F" w14:textId="77777777" w:rsidTr="00E0350C">
        <w:tc>
          <w:tcPr>
            <w:tcW w:w="5000" w:type="pct"/>
            <w:shd w:val="clear" w:color="auto" w:fill="548DD4" w:themeFill="text2" w:themeFillTint="99"/>
          </w:tcPr>
          <w:p w14:paraId="7BAE837F"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70F7A122"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0343C9E1" w14:textId="77777777" w:rsidTr="00E0350C">
        <w:tc>
          <w:tcPr>
            <w:tcW w:w="5000" w:type="pct"/>
          </w:tcPr>
          <w:p w14:paraId="4469B081" w14:textId="10C0FE42" w:rsidR="004B71BD" w:rsidRPr="00F00D94" w:rsidRDefault="004B71BD"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Pr="00F00D94">
              <w:rPr>
                <w:rFonts w:ascii="Arial" w:hAnsi="Arial" w:cs="Arial"/>
                <w:sz w:val="20"/>
              </w:rPr>
              <w:t xml:space="preserve"> with the testing of “Subrecipient Monitoring.”</w:t>
            </w:r>
          </w:p>
          <w:p w14:paraId="4AA050A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22F9D346" w14:textId="77777777" w:rsidTr="00E0350C">
        <w:tc>
          <w:tcPr>
            <w:tcW w:w="5000" w:type="pct"/>
          </w:tcPr>
          <w:p w14:paraId="5AA465B9" w14:textId="77777777" w:rsidR="004B71BD" w:rsidRPr="00F00D94" w:rsidRDefault="004B71BD" w:rsidP="00B85001">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Review the PTE’s subrecipient monitoring policies and procedures to gain an understanding of the PTE’s process to identify subawards, evaluate risk of noncompliance, and perform monitoring procedures based upon identified risks.</w:t>
            </w:r>
          </w:p>
          <w:p w14:paraId="6FDF51C2" w14:textId="6193E3A2"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Pr="00F00D94">
              <w:rPr>
                <w:rFonts w:ascii="Arial" w:hAnsi="Arial" w:cs="Arial"/>
                <w:sz w:val="20"/>
              </w:rPr>
              <w:t>sufficient for the PTE to comply with Federal statutes, regulations, and the terms and conditions of the award.</w:t>
            </w:r>
          </w:p>
          <w:p w14:paraId="6550715E" w14:textId="77777777"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46FC400D" w:rsidR="004B71BD" w:rsidRPr="00F00D94"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Pr="00F00D94">
              <w:rPr>
                <w:rFonts w:ascii="Arial" w:hAnsi="Arial" w:cs="Arial"/>
                <w:sz w:val="20"/>
              </w:rPr>
              <w:t xml:space="preserve">, met this requirement </w:t>
            </w:r>
            <w:r w:rsidR="0094238F" w:rsidRPr="00F00D94">
              <w:rPr>
                <w:rFonts w:ascii="Arial" w:hAnsi="Arial" w:cs="Arial"/>
                <w:sz w:val="20"/>
              </w:rPr>
              <w:t>(2 CFR 200.332(f)</w:t>
            </w:r>
            <w:r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F00D94" w:rsidRDefault="002B7784" w:rsidP="006672EA">
      <w:pPr>
        <w:pStyle w:val="Heading3"/>
        <w:jc w:val="both"/>
        <w:rPr>
          <w:rFonts w:cs="Arial"/>
          <w:b w:val="0"/>
          <w:szCs w:val="24"/>
        </w:rPr>
      </w:pPr>
      <w:bookmarkStart w:id="75" w:name="_Toc115942641"/>
      <w:r w:rsidRPr="00F00D94">
        <w:rPr>
          <w:rFonts w:cs="Arial"/>
        </w:rPr>
        <w:t>Audit Implications Summary</w:t>
      </w:r>
      <w:bookmarkEnd w:id="75"/>
    </w:p>
    <w:tbl>
      <w:tblPr>
        <w:tblStyle w:val="TableGrid"/>
        <w:tblW w:w="5000" w:type="pct"/>
        <w:tblLook w:val="04A0" w:firstRow="1" w:lastRow="0" w:firstColumn="1" w:lastColumn="0" w:noHBand="0" w:noVBand="1"/>
      </w:tblPr>
      <w:tblGrid>
        <w:gridCol w:w="9350"/>
      </w:tblGrid>
      <w:tr w:rsidR="002B7784" w:rsidRPr="00F00D94" w14:paraId="59946D78" w14:textId="77777777" w:rsidTr="00E0350C">
        <w:tc>
          <w:tcPr>
            <w:tcW w:w="5000" w:type="pct"/>
            <w:shd w:val="clear" w:color="auto" w:fill="548DD4" w:themeFill="text2" w:themeFillTint="99"/>
          </w:tcPr>
          <w:p w14:paraId="353F545E" w14:textId="77777777" w:rsidR="002B7784" w:rsidRPr="00F00D94" w:rsidRDefault="002B7784"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B7784" w:rsidRPr="00F00D94" w14:paraId="5C4F6E38" w14:textId="77777777" w:rsidTr="00E0350C">
        <w:tc>
          <w:tcPr>
            <w:tcW w:w="5000" w:type="pct"/>
          </w:tcPr>
          <w:p w14:paraId="2E386DD6" w14:textId="77777777" w:rsidR="002B7784" w:rsidRPr="00F00D94" w:rsidRDefault="002B7784" w:rsidP="00737F09">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45DA6B08" w14:textId="77777777" w:rsidR="002B7784" w:rsidRPr="00F00D94" w:rsidRDefault="002B7784" w:rsidP="006672EA">
            <w:pPr>
              <w:widowControl w:val="0"/>
              <w:spacing w:after="240"/>
              <w:ind w:left="720"/>
              <w:jc w:val="both"/>
              <w:rPr>
                <w:rFonts w:ascii="Arial" w:hAnsi="Arial" w:cs="Arial"/>
                <w:b/>
                <w:sz w:val="20"/>
              </w:rPr>
            </w:pPr>
          </w:p>
          <w:p w14:paraId="6748E5E6" w14:textId="77777777" w:rsidR="002B7784" w:rsidRPr="00F00D94" w:rsidRDefault="002B7784" w:rsidP="00737F09">
            <w:pPr>
              <w:widowControl w:val="0"/>
              <w:numPr>
                <w:ilvl w:val="0"/>
                <w:numId w:val="39"/>
              </w:numPr>
              <w:spacing w:after="240"/>
              <w:jc w:val="both"/>
              <w:rPr>
                <w:rFonts w:ascii="Arial" w:eastAsiaTheme="minorHAnsi" w:hAnsi="Arial" w:cs="Arial"/>
                <w:b/>
                <w:sz w:val="20"/>
              </w:rPr>
            </w:pPr>
            <w:r w:rsidRPr="00F00D94">
              <w:rPr>
                <w:rFonts w:ascii="Arial" w:hAnsi="Arial" w:cs="Arial"/>
                <w:b/>
                <w:sz w:val="20"/>
              </w:rPr>
              <w:lastRenderedPageBreak/>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737F09">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737F09">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737F09">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136"/>
          <w:pgSz w:w="12240" w:h="15840" w:code="1"/>
          <w:pgMar w:top="1440" w:right="1440" w:bottom="1440" w:left="1440" w:header="720" w:footer="720" w:gutter="0"/>
          <w:cols w:space="720"/>
          <w:docGrid w:linePitch="360"/>
        </w:sectPr>
      </w:pPr>
    </w:p>
    <w:p w14:paraId="2A894E67" w14:textId="77777777" w:rsidR="00784098" w:rsidRPr="00F00D94" w:rsidRDefault="00784098" w:rsidP="006672EA">
      <w:pPr>
        <w:pStyle w:val="Heading2"/>
        <w:jc w:val="both"/>
        <w:rPr>
          <w:rStyle w:val="PageNumber"/>
          <w:rFonts w:cs="Arial"/>
        </w:rPr>
      </w:pPr>
      <w:bookmarkStart w:id="76" w:name="_Toc442267704"/>
      <w:bookmarkStart w:id="77" w:name="_Toc115942642"/>
      <w:r w:rsidRPr="00F00D94">
        <w:rPr>
          <w:rStyle w:val="PageNumber"/>
          <w:rFonts w:cs="Arial"/>
        </w:rPr>
        <w:lastRenderedPageBreak/>
        <w:t>Program Testing Conclusion</w:t>
      </w:r>
      <w:bookmarkEnd w:id="76"/>
      <w:bookmarkEnd w:id="77"/>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77777777" w:rsidR="00784098" w:rsidRPr="00F00D94" w:rsidRDefault="00784098" w:rsidP="006672EA">
      <w:pPr>
        <w:spacing w:after="240"/>
        <w:jc w:val="both"/>
        <w:rPr>
          <w:rFonts w:ascii="Arial" w:hAnsi="Arial" w:cs="Arial"/>
          <w:b/>
          <w:sz w:val="20"/>
        </w:rPr>
      </w:pP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37"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37" tgtFrame="&quot;content&quot;"/>
                    </pic:cNvPr>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737F09">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737F09">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77777777" w:rsidR="00784098" w:rsidRPr="00F00D94" w:rsidRDefault="00784098" w:rsidP="00737F09">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7638EB" w:rsidRPr="00F00D94">
        <w:rPr>
          <w:rFonts w:ascii="Arial" w:hAnsi="Arial" w:cs="Arial"/>
          <w:sz w:val="20"/>
        </w:rPr>
        <w:t xml:space="preserve">must </w:t>
      </w:r>
      <w:r w:rsidRPr="00F00D94">
        <w:rPr>
          <w:rFonts w:ascii="Arial" w:hAnsi="Arial" w:cs="Arial"/>
          <w:sz w:val="20"/>
        </w:rPr>
        <w:t xml:space="preserve"> report (in the schedule of findings and questioned costs)  known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737F09">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737F09">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Known or likely fraud affecting a federal award, unless such fraud is otherwise reported as an audit finding in the schedule of findings and questioned costs.</w:t>
      </w:r>
    </w:p>
    <w:p w14:paraId="08EAF09E" w14:textId="2A43ED7B" w:rsidR="009F67E0" w:rsidRPr="00F00D94" w:rsidRDefault="009F67E0" w:rsidP="00737F09">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737F09">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737F09">
      <w:pPr>
        <w:numPr>
          <w:ilvl w:val="0"/>
          <w:numId w:val="60"/>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783F61B2" w:rsidR="00FA3EC3" w:rsidRPr="00F00D94" w:rsidRDefault="00EB1C72" w:rsidP="006672EA">
      <w:pPr>
        <w:spacing w:after="240"/>
        <w:jc w:val="both"/>
        <w:rPr>
          <w:rFonts w:ascii="Arial" w:hAnsi="Arial" w:cs="Arial"/>
          <w:sz w:val="20"/>
        </w:rPr>
      </w:pPr>
      <w:hyperlink r:id="rId139" w:history="1">
        <w:r w:rsidR="00FA3EC3" w:rsidRPr="00F00D94">
          <w:rPr>
            <w:rStyle w:val="Hyperlink"/>
            <w:rFonts w:ascii="Arial" w:hAnsi="Arial" w:cs="Arial"/>
            <w:sz w:val="20"/>
          </w:rPr>
          <w:t xml:space="preserve">Appendix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385C226F" w:rsidR="00FA3EC3" w:rsidRPr="00F00D94" w:rsidRDefault="00EB1C72" w:rsidP="006672EA">
      <w:pPr>
        <w:spacing w:after="240"/>
        <w:jc w:val="both"/>
        <w:rPr>
          <w:rFonts w:ascii="Arial" w:hAnsi="Arial" w:cs="Arial"/>
          <w:sz w:val="20"/>
        </w:rPr>
      </w:pPr>
      <w:hyperlink r:id="rId140" w:history="1">
        <w:r w:rsidR="00FA3EC3" w:rsidRPr="00F00D94">
          <w:rPr>
            <w:rStyle w:val="Hyperlink"/>
            <w:rFonts w:ascii="Arial" w:hAnsi="Arial" w:cs="Arial"/>
            <w:sz w:val="20"/>
          </w:rPr>
          <w:t>Appendix 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15EA36D2"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41"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77777777" w:rsidR="00A43BF7" w:rsidRPr="00F00D94" w:rsidRDefault="00A43BF7" w:rsidP="00A43BF7">
      <w:pPr>
        <w:jc w:val="both"/>
        <w:rPr>
          <w:rFonts w:ascii="Arial" w:hAnsi="Arial" w:cs="Arial"/>
          <w:sz w:val="20"/>
        </w:rPr>
      </w:pPr>
      <w:r w:rsidRPr="00F00D94">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0F68426D"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r w:rsidR="00AA3131" w:rsidRPr="00F00D94">
        <w:rPr>
          <w:rFonts w:ascii="Arial" w:hAnsi="Arial" w:cs="Arial"/>
          <w:color w:val="FF0000"/>
          <w:sz w:val="20"/>
        </w:rPr>
        <w:t>verbally</w:t>
      </w:r>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78" w:name="AICPAIGS:767.2670-1"/>
      <w:bookmarkEnd w:id="78"/>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in order to be communicated in the management letter: </w:t>
      </w:r>
    </w:p>
    <w:p w14:paraId="47396874" w14:textId="77777777" w:rsidR="00784098" w:rsidRPr="00F00D94" w:rsidRDefault="00784098" w:rsidP="00737F09">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737F09">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737F09">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3CF1A374"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4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6046" w14:textId="77777777" w:rsidR="004C7A79" w:rsidRDefault="004C7A79">
      <w:r>
        <w:separator/>
      </w:r>
    </w:p>
  </w:endnote>
  <w:endnote w:type="continuationSeparator" w:id="0">
    <w:p w14:paraId="1B73C887" w14:textId="77777777" w:rsidR="004C7A79" w:rsidRDefault="004C7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6BDA2AE0" w:rsidR="004C7A79" w:rsidRDefault="004C7A79">
    <w:pPr>
      <w:pBdr>
        <w:top w:val="single" w:sz="4" w:space="1" w:color="auto"/>
      </w:pBdr>
      <w:tabs>
        <w:tab w:val="center" w:pos="4680"/>
      </w:tabs>
      <w:spacing w:line="240" w:lineRule="exact"/>
      <w:rPr>
        <w:sz w:val="18"/>
      </w:rPr>
    </w:pPr>
    <w:r>
      <w:rPr>
        <w:sz w:val="18"/>
      </w:rPr>
      <w:t>2022 UG FACCR #21.027 Coronavirus SLFRF</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9A6D0C">
      <w:rPr>
        <w:b/>
        <w:noProof/>
        <w:sz w:val="18"/>
      </w:rPr>
      <w:t>6</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9A6D0C">
      <w:rPr>
        <w:b/>
        <w:noProof/>
        <w:sz w:val="18"/>
      </w:rPr>
      <w:t>69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4B8" w14:textId="77777777" w:rsidR="004C7A79" w:rsidRDefault="004C7A79">
      <w:r>
        <w:separator/>
      </w:r>
    </w:p>
  </w:footnote>
  <w:footnote w:type="continuationSeparator" w:id="0">
    <w:p w14:paraId="7F3536C6" w14:textId="77777777" w:rsidR="004C7A79" w:rsidRDefault="004C7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4C7A79" w:rsidRPr="00084EE0" w:rsidRDefault="004C7A7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D64C" w14:textId="77777777" w:rsidR="004C7A79" w:rsidRPr="002616A3" w:rsidRDefault="004C7A79"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4C7A79" w:rsidRPr="00784098" w:rsidRDefault="004C7A79"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4C7A79" w:rsidRPr="00F13178" w:rsidRDefault="004C7A79"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4C7A79" w:rsidRPr="00F13178" w:rsidRDefault="004C7A79"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4C7A79" w:rsidRPr="00F13178" w:rsidRDefault="004C7A79"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4C7A79" w:rsidRPr="004652A0" w:rsidRDefault="004C7A79"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4C7A79" w:rsidRDefault="004C7A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4C7A79" w:rsidRPr="004652A0" w:rsidRDefault="004C7A7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4C7A79" w:rsidRPr="002616A3" w:rsidRDefault="004C7A79"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33F7" w14:textId="77777777" w:rsidR="004C7A79" w:rsidRPr="002616A3" w:rsidRDefault="004C7A79"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4C7A79" w:rsidRPr="002616A3" w:rsidRDefault="004C7A79" w:rsidP="002616A3">
    <w:pPr>
      <w:pStyle w:val="Header"/>
      <w:jc w:val="center"/>
      <w:rPr>
        <w:rFonts w:ascii="Arial" w:hAnsi="Arial" w:cs="Arial"/>
      </w:rPr>
    </w:pPr>
    <w:r w:rsidRPr="002616A3">
      <w:rPr>
        <w:rStyle w:val="PageNumber"/>
        <w:rFonts w:ascii="Arial" w:hAnsi="Arial" w:cs="Arial"/>
        <w:b/>
        <w:sz w:val="36"/>
        <w:szCs w:val="36"/>
      </w:rPr>
      <w:t>L. Reporting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F043DEC"/>
    <w:multiLevelType w:val="hybridMultilevel"/>
    <w:tmpl w:val="86B44A8A"/>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1"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3"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4"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165923"/>
    <w:multiLevelType w:val="hybridMultilevel"/>
    <w:tmpl w:val="D1D6A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DC917E7"/>
    <w:multiLevelType w:val="hybridMultilevel"/>
    <w:tmpl w:val="5528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34"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5178F9"/>
    <w:multiLevelType w:val="hybridMultilevel"/>
    <w:tmpl w:val="2A5089CC"/>
    <w:lvl w:ilvl="0" w:tplc="04090017">
      <w:start w:val="1"/>
      <w:numFmt w:val="lowerLetter"/>
      <w:lvlText w:val="%1)"/>
      <w:lvlJc w:val="left"/>
      <w:pPr>
        <w:ind w:left="1421" w:hanging="360"/>
      </w:pPr>
    </w:lvl>
    <w:lvl w:ilvl="1" w:tplc="0409000F">
      <w:start w:val="1"/>
      <w:numFmt w:val="decimal"/>
      <w:lvlText w:val="%2."/>
      <w:lvlJc w:val="left"/>
      <w:pPr>
        <w:ind w:left="2141" w:hanging="360"/>
      </w:pPr>
    </w:lvl>
    <w:lvl w:ilvl="2" w:tplc="0409001B">
      <w:start w:val="1"/>
      <w:numFmt w:val="lowerRoman"/>
      <w:lvlText w:val="%3."/>
      <w:lvlJc w:val="right"/>
      <w:pPr>
        <w:ind w:left="2861" w:hanging="180"/>
      </w:pPr>
    </w:lvl>
    <w:lvl w:ilvl="3" w:tplc="0409000F" w:tentative="1">
      <w:start w:val="1"/>
      <w:numFmt w:val="decimal"/>
      <w:lvlText w:val="%4."/>
      <w:lvlJc w:val="left"/>
      <w:pPr>
        <w:ind w:left="3581" w:hanging="360"/>
      </w:pPr>
    </w:lvl>
    <w:lvl w:ilvl="4" w:tplc="04090019" w:tentative="1">
      <w:start w:val="1"/>
      <w:numFmt w:val="lowerLetter"/>
      <w:lvlText w:val="%5."/>
      <w:lvlJc w:val="left"/>
      <w:pPr>
        <w:ind w:left="4301" w:hanging="360"/>
      </w:pPr>
    </w:lvl>
    <w:lvl w:ilvl="5" w:tplc="0409001B" w:tentative="1">
      <w:start w:val="1"/>
      <w:numFmt w:val="lowerRoman"/>
      <w:lvlText w:val="%6."/>
      <w:lvlJc w:val="right"/>
      <w:pPr>
        <w:ind w:left="5021" w:hanging="180"/>
      </w:pPr>
    </w:lvl>
    <w:lvl w:ilvl="6" w:tplc="0409000F" w:tentative="1">
      <w:start w:val="1"/>
      <w:numFmt w:val="decimal"/>
      <w:lvlText w:val="%7."/>
      <w:lvlJc w:val="left"/>
      <w:pPr>
        <w:ind w:left="5741" w:hanging="360"/>
      </w:pPr>
    </w:lvl>
    <w:lvl w:ilvl="7" w:tplc="04090019" w:tentative="1">
      <w:start w:val="1"/>
      <w:numFmt w:val="lowerLetter"/>
      <w:lvlText w:val="%8."/>
      <w:lvlJc w:val="left"/>
      <w:pPr>
        <w:ind w:left="6461" w:hanging="360"/>
      </w:pPr>
    </w:lvl>
    <w:lvl w:ilvl="8" w:tplc="0409001B" w:tentative="1">
      <w:start w:val="1"/>
      <w:numFmt w:val="lowerRoman"/>
      <w:lvlText w:val="%9."/>
      <w:lvlJc w:val="right"/>
      <w:pPr>
        <w:ind w:left="7181" w:hanging="180"/>
      </w:pPr>
    </w:lvl>
  </w:abstractNum>
  <w:abstractNum w:abstractNumId="37"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30255E"/>
    <w:multiLevelType w:val="hybridMultilevel"/>
    <w:tmpl w:val="F1ACE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524262"/>
    <w:multiLevelType w:val="hybridMultilevel"/>
    <w:tmpl w:val="E48A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7"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8"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C7F4112"/>
    <w:multiLevelType w:val="hybridMultilevel"/>
    <w:tmpl w:val="20CA6E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1AF38F0"/>
    <w:multiLevelType w:val="hybridMultilevel"/>
    <w:tmpl w:val="1EB0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050E25"/>
    <w:multiLevelType w:val="hybridMultilevel"/>
    <w:tmpl w:val="9DD811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4"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6"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FD5D6E"/>
    <w:multiLevelType w:val="hybridMultilevel"/>
    <w:tmpl w:val="ED767262"/>
    <w:lvl w:ilvl="0" w:tplc="3FD2D0C4">
      <w:start w:val="1"/>
      <w:numFmt w:val="decimal"/>
      <w:lvlText w:val="%1."/>
      <w:lvlJc w:val="left"/>
      <w:pPr>
        <w:ind w:left="720" w:hanging="360"/>
      </w:pPr>
      <w:rPr>
        <w:rFonts w:hint="default"/>
        <w:b/>
      </w:rPr>
    </w:lvl>
    <w:lvl w:ilvl="1" w:tplc="63063144">
      <w:start w:val="1"/>
      <w:numFmt w:val="lowerLetter"/>
      <w:lvlText w:val="%2."/>
      <w:lvlJc w:val="left"/>
      <w:pPr>
        <w:ind w:left="1440" w:hanging="360"/>
      </w:pPr>
      <w:rPr>
        <w:b w:val="0"/>
      </w:rPr>
    </w:lvl>
    <w:lvl w:ilvl="2" w:tplc="865288DC">
      <w:start w:val="1"/>
      <w:numFmt w:val="decimal"/>
      <w:lvlText w:val="%3."/>
      <w:lvlJc w:val="left"/>
      <w:pPr>
        <w:ind w:left="2160" w:hanging="180"/>
      </w:pPr>
      <w:rPr>
        <w:b w:val="0"/>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6102202">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796026805">
    <w:abstractNumId w:val="44"/>
  </w:num>
  <w:num w:numId="3" w16cid:durableId="1935429840">
    <w:abstractNumId w:val="20"/>
  </w:num>
  <w:num w:numId="4" w16cid:durableId="911934847">
    <w:abstractNumId w:val="29"/>
  </w:num>
  <w:num w:numId="5" w16cid:durableId="1189903835">
    <w:abstractNumId w:val="54"/>
  </w:num>
  <w:num w:numId="6" w16cid:durableId="515121512">
    <w:abstractNumId w:val="28"/>
  </w:num>
  <w:num w:numId="7" w16cid:durableId="1652177282">
    <w:abstractNumId w:val="66"/>
  </w:num>
  <w:num w:numId="8" w16cid:durableId="692074647">
    <w:abstractNumId w:val="51"/>
  </w:num>
  <w:num w:numId="9" w16cid:durableId="1968850365">
    <w:abstractNumId w:val="15"/>
  </w:num>
  <w:num w:numId="10" w16cid:durableId="1063333047">
    <w:abstractNumId w:val="4"/>
  </w:num>
  <w:num w:numId="11" w16cid:durableId="443840461">
    <w:abstractNumId w:val="13"/>
  </w:num>
  <w:num w:numId="12" w16cid:durableId="966158868">
    <w:abstractNumId w:val="63"/>
  </w:num>
  <w:num w:numId="13" w16cid:durableId="432170134">
    <w:abstractNumId w:val="46"/>
  </w:num>
  <w:num w:numId="14" w16cid:durableId="259685328">
    <w:abstractNumId w:val="40"/>
  </w:num>
  <w:num w:numId="15" w16cid:durableId="376783193">
    <w:abstractNumId w:val="49"/>
  </w:num>
  <w:num w:numId="16" w16cid:durableId="758064519">
    <w:abstractNumId w:val="37"/>
  </w:num>
  <w:num w:numId="17" w16cid:durableId="552548335">
    <w:abstractNumId w:val="57"/>
  </w:num>
  <w:num w:numId="18" w16cid:durableId="1862741795">
    <w:abstractNumId w:val="27"/>
  </w:num>
  <w:num w:numId="19" w16cid:durableId="1294479340">
    <w:abstractNumId w:val="45"/>
  </w:num>
  <w:num w:numId="20" w16cid:durableId="1249148488">
    <w:abstractNumId w:val="64"/>
  </w:num>
  <w:num w:numId="21" w16cid:durableId="2115049848">
    <w:abstractNumId w:val="62"/>
  </w:num>
  <w:num w:numId="22" w16cid:durableId="305555359">
    <w:abstractNumId w:val="17"/>
  </w:num>
  <w:num w:numId="23" w16cid:durableId="444615935">
    <w:abstractNumId w:val="9"/>
  </w:num>
  <w:num w:numId="24" w16cid:durableId="913972980">
    <w:abstractNumId w:val="53"/>
  </w:num>
  <w:num w:numId="25" w16cid:durableId="1842504223">
    <w:abstractNumId w:val="16"/>
  </w:num>
  <w:num w:numId="26" w16cid:durableId="1545409686">
    <w:abstractNumId w:val="31"/>
  </w:num>
  <w:num w:numId="27" w16cid:durableId="154567827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821595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53423597">
    <w:abstractNumId w:val="47"/>
  </w:num>
  <w:num w:numId="30" w16cid:durableId="1207909763">
    <w:abstractNumId w:val="11"/>
  </w:num>
  <w:num w:numId="31" w16cid:durableId="1681544540">
    <w:abstractNumId w:val="6"/>
  </w:num>
  <w:num w:numId="32" w16cid:durableId="197400813">
    <w:abstractNumId w:val="42"/>
  </w:num>
  <w:num w:numId="33" w16cid:durableId="170222578">
    <w:abstractNumId w:val="3"/>
  </w:num>
  <w:num w:numId="34" w16cid:durableId="1144203918">
    <w:abstractNumId w:val="67"/>
  </w:num>
  <w:num w:numId="35" w16cid:durableId="1138230923">
    <w:abstractNumId w:val="55"/>
  </w:num>
  <w:num w:numId="36" w16cid:durableId="1852333961">
    <w:abstractNumId w:val="18"/>
  </w:num>
  <w:num w:numId="37" w16cid:durableId="1529563478">
    <w:abstractNumId w:val="32"/>
  </w:num>
  <w:num w:numId="38" w16cid:durableId="797378208">
    <w:abstractNumId w:val="34"/>
  </w:num>
  <w:num w:numId="39" w16cid:durableId="1525482308">
    <w:abstractNumId w:val="58"/>
  </w:num>
  <w:num w:numId="40" w16cid:durableId="1308586191">
    <w:abstractNumId w:val="2"/>
  </w:num>
  <w:num w:numId="41" w16cid:durableId="484322475">
    <w:abstractNumId w:val="41"/>
  </w:num>
  <w:num w:numId="42" w16cid:durableId="836916581">
    <w:abstractNumId w:val="1"/>
  </w:num>
  <w:num w:numId="43" w16cid:durableId="1170413936">
    <w:abstractNumId w:val="60"/>
  </w:num>
  <w:num w:numId="44" w16cid:durableId="570390633">
    <w:abstractNumId w:val="12"/>
  </w:num>
  <w:num w:numId="45" w16cid:durableId="1427654184">
    <w:abstractNumId w:val="48"/>
  </w:num>
  <w:num w:numId="46" w16cid:durableId="1381662299">
    <w:abstractNumId w:val="38"/>
  </w:num>
  <w:num w:numId="47" w16cid:durableId="668555440">
    <w:abstractNumId w:val="21"/>
  </w:num>
  <w:num w:numId="48" w16cid:durableId="2029795575">
    <w:abstractNumId w:val="14"/>
  </w:num>
  <w:num w:numId="49" w16cid:durableId="1620918206">
    <w:abstractNumId w:val="22"/>
  </w:num>
  <w:num w:numId="50" w16cid:durableId="2042825263">
    <w:abstractNumId w:val="39"/>
  </w:num>
  <w:num w:numId="51" w16cid:durableId="111096911">
    <w:abstractNumId w:val="23"/>
  </w:num>
  <w:num w:numId="52" w16cid:durableId="1327511953">
    <w:abstractNumId w:val="33"/>
  </w:num>
  <w:num w:numId="53" w16cid:durableId="510149169">
    <w:abstractNumId w:val="10"/>
  </w:num>
  <w:num w:numId="54" w16cid:durableId="492068636">
    <w:abstractNumId w:val="35"/>
  </w:num>
  <w:num w:numId="55" w16cid:durableId="18553316">
    <w:abstractNumId w:val="61"/>
  </w:num>
  <w:num w:numId="56" w16cid:durableId="356851550">
    <w:abstractNumId w:val="26"/>
  </w:num>
  <w:num w:numId="57" w16cid:durableId="7606162">
    <w:abstractNumId w:val="19"/>
  </w:num>
  <w:num w:numId="58" w16cid:durableId="406655230">
    <w:abstractNumId w:val="56"/>
  </w:num>
  <w:num w:numId="59" w16cid:durableId="206533732">
    <w:abstractNumId w:val="24"/>
  </w:num>
  <w:num w:numId="60" w16cid:durableId="316571316">
    <w:abstractNumId w:val="5"/>
  </w:num>
  <w:num w:numId="61" w16cid:durableId="1782994824">
    <w:abstractNumId w:val="25"/>
  </w:num>
  <w:num w:numId="62" w16cid:durableId="526531913">
    <w:abstractNumId w:val="8"/>
  </w:num>
  <w:num w:numId="63" w16cid:durableId="133566548">
    <w:abstractNumId w:val="52"/>
  </w:num>
  <w:num w:numId="64" w16cid:durableId="1411385207">
    <w:abstractNumId w:val="43"/>
  </w:num>
  <w:num w:numId="65" w16cid:durableId="875891536">
    <w:abstractNumId w:val="36"/>
  </w:num>
  <w:num w:numId="66" w16cid:durableId="253511127">
    <w:abstractNumId w:val="30"/>
  </w:num>
  <w:num w:numId="67" w16cid:durableId="1852530076">
    <w:abstractNumId w:val="59"/>
  </w:num>
  <w:num w:numId="68" w16cid:durableId="67466821">
    <w:abstractNumId w:val="50"/>
  </w:num>
  <w:num w:numId="69" w16cid:durableId="5442381">
    <w:abstractNumId w:val="6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5C2F"/>
    <w:rsid w:val="000361F7"/>
    <w:rsid w:val="00036261"/>
    <w:rsid w:val="0004135F"/>
    <w:rsid w:val="0004205B"/>
    <w:rsid w:val="00044263"/>
    <w:rsid w:val="00044DD5"/>
    <w:rsid w:val="0004582F"/>
    <w:rsid w:val="00046CA9"/>
    <w:rsid w:val="00050483"/>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50C3"/>
    <w:rsid w:val="00086774"/>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530B"/>
    <w:rsid w:val="000A63F1"/>
    <w:rsid w:val="000A6694"/>
    <w:rsid w:val="000A6DFA"/>
    <w:rsid w:val="000A7103"/>
    <w:rsid w:val="000A77DF"/>
    <w:rsid w:val="000B0F9A"/>
    <w:rsid w:val="000B1E1B"/>
    <w:rsid w:val="000B32C3"/>
    <w:rsid w:val="000B4444"/>
    <w:rsid w:val="000B52E9"/>
    <w:rsid w:val="000B7957"/>
    <w:rsid w:val="000C192B"/>
    <w:rsid w:val="000C1DCD"/>
    <w:rsid w:val="000C218A"/>
    <w:rsid w:val="000C2551"/>
    <w:rsid w:val="000C35A3"/>
    <w:rsid w:val="000C37F4"/>
    <w:rsid w:val="000C394D"/>
    <w:rsid w:val="000C4638"/>
    <w:rsid w:val="000C5E29"/>
    <w:rsid w:val="000C5F32"/>
    <w:rsid w:val="000C683C"/>
    <w:rsid w:val="000C7AA0"/>
    <w:rsid w:val="000C7D0B"/>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06B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C25"/>
    <w:rsid w:val="00190F31"/>
    <w:rsid w:val="001919FF"/>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A0F"/>
    <w:rsid w:val="001B1381"/>
    <w:rsid w:val="001B1E16"/>
    <w:rsid w:val="001B2242"/>
    <w:rsid w:val="001B301C"/>
    <w:rsid w:val="001B3FDF"/>
    <w:rsid w:val="001B48C6"/>
    <w:rsid w:val="001B63FB"/>
    <w:rsid w:val="001B6CBD"/>
    <w:rsid w:val="001C24A3"/>
    <w:rsid w:val="001C2F47"/>
    <w:rsid w:val="001C3EE9"/>
    <w:rsid w:val="001C56D2"/>
    <w:rsid w:val="001C58DB"/>
    <w:rsid w:val="001C5ADF"/>
    <w:rsid w:val="001C636A"/>
    <w:rsid w:val="001C73C2"/>
    <w:rsid w:val="001C77A9"/>
    <w:rsid w:val="001C7D47"/>
    <w:rsid w:val="001D152D"/>
    <w:rsid w:val="001D227B"/>
    <w:rsid w:val="001D301E"/>
    <w:rsid w:val="001D31FA"/>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603"/>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40C9"/>
    <w:rsid w:val="00214BBB"/>
    <w:rsid w:val="0021616A"/>
    <w:rsid w:val="00216F8E"/>
    <w:rsid w:val="00216FD6"/>
    <w:rsid w:val="00217A1A"/>
    <w:rsid w:val="00220B59"/>
    <w:rsid w:val="00220BEF"/>
    <w:rsid w:val="002214AF"/>
    <w:rsid w:val="00221CB7"/>
    <w:rsid w:val="00222DAF"/>
    <w:rsid w:val="00223898"/>
    <w:rsid w:val="002239DF"/>
    <w:rsid w:val="00223C80"/>
    <w:rsid w:val="00224303"/>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27D6"/>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D8B"/>
    <w:rsid w:val="00273735"/>
    <w:rsid w:val="002737BF"/>
    <w:rsid w:val="00273E69"/>
    <w:rsid w:val="00273F59"/>
    <w:rsid w:val="00274A31"/>
    <w:rsid w:val="00275030"/>
    <w:rsid w:val="00276A5B"/>
    <w:rsid w:val="00276B89"/>
    <w:rsid w:val="002774AE"/>
    <w:rsid w:val="00281491"/>
    <w:rsid w:val="00282B50"/>
    <w:rsid w:val="00283392"/>
    <w:rsid w:val="0028384F"/>
    <w:rsid w:val="002839CB"/>
    <w:rsid w:val="00283D52"/>
    <w:rsid w:val="0028486A"/>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039D"/>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3290"/>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1E98"/>
    <w:rsid w:val="003B36E1"/>
    <w:rsid w:val="003B4698"/>
    <w:rsid w:val="003B4E7D"/>
    <w:rsid w:val="003B578C"/>
    <w:rsid w:val="003B5B02"/>
    <w:rsid w:val="003B5B5E"/>
    <w:rsid w:val="003B7518"/>
    <w:rsid w:val="003C00C4"/>
    <w:rsid w:val="003C0727"/>
    <w:rsid w:val="003C0E2D"/>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3E9"/>
    <w:rsid w:val="00444C94"/>
    <w:rsid w:val="00444E48"/>
    <w:rsid w:val="00444ECF"/>
    <w:rsid w:val="00444FBA"/>
    <w:rsid w:val="004465CA"/>
    <w:rsid w:val="00447BD7"/>
    <w:rsid w:val="00450E71"/>
    <w:rsid w:val="00452D84"/>
    <w:rsid w:val="004531D0"/>
    <w:rsid w:val="0045340B"/>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BDC"/>
    <w:rsid w:val="00473F88"/>
    <w:rsid w:val="00476251"/>
    <w:rsid w:val="00477282"/>
    <w:rsid w:val="00477575"/>
    <w:rsid w:val="0048013A"/>
    <w:rsid w:val="00481CE5"/>
    <w:rsid w:val="0048465B"/>
    <w:rsid w:val="00484A1E"/>
    <w:rsid w:val="004871A1"/>
    <w:rsid w:val="00490730"/>
    <w:rsid w:val="00492623"/>
    <w:rsid w:val="0049287E"/>
    <w:rsid w:val="00493AEE"/>
    <w:rsid w:val="00494678"/>
    <w:rsid w:val="00495749"/>
    <w:rsid w:val="0049582C"/>
    <w:rsid w:val="00495966"/>
    <w:rsid w:val="0049603F"/>
    <w:rsid w:val="00497196"/>
    <w:rsid w:val="004A0499"/>
    <w:rsid w:val="004A0B7C"/>
    <w:rsid w:val="004A11B2"/>
    <w:rsid w:val="004A1340"/>
    <w:rsid w:val="004A15DC"/>
    <w:rsid w:val="004A1E75"/>
    <w:rsid w:val="004A2702"/>
    <w:rsid w:val="004A2A59"/>
    <w:rsid w:val="004A3C5B"/>
    <w:rsid w:val="004A5C79"/>
    <w:rsid w:val="004A7BA0"/>
    <w:rsid w:val="004B0974"/>
    <w:rsid w:val="004B0CD9"/>
    <w:rsid w:val="004B2039"/>
    <w:rsid w:val="004B3179"/>
    <w:rsid w:val="004B3573"/>
    <w:rsid w:val="004B59AE"/>
    <w:rsid w:val="004B6A16"/>
    <w:rsid w:val="004B71AB"/>
    <w:rsid w:val="004B71BD"/>
    <w:rsid w:val="004B7539"/>
    <w:rsid w:val="004C0A9B"/>
    <w:rsid w:val="004C396D"/>
    <w:rsid w:val="004C50F4"/>
    <w:rsid w:val="004C5354"/>
    <w:rsid w:val="004C5ED9"/>
    <w:rsid w:val="004C6448"/>
    <w:rsid w:val="004C7A79"/>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2D09"/>
    <w:rsid w:val="005236DF"/>
    <w:rsid w:val="00527A06"/>
    <w:rsid w:val="00527E9E"/>
    <w:rsid w:val="0053013E"/>
    <w:rsid w:val="005310B6"/>
    <w:rsid w:val="00532198"/>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0B0A"/>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2F07"/>
    <w:rsid w:val="005E3A58"/>
    <w:rsid w:val="005E3EE2"/>
    <w:rsid w:val="005E3EEB"/>
    <w:rsid w:val="005E4707"/>
    <w:rsid w:val="005E6D9B"/>
    <w:rsid w:val="005E7472"/>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270F"/>
    <w:rsid w:val="006230CF"/>
    <w:rsid w:val="00624DA1"/>
    <w:rsid w:val="00626C6D"/>
    <w:rsid w:val="00627482"/>
    <w:rsid w:val="00630A37"/>
    <w:rsid w:val="00631256"/>
    <w:rsid w:val="0063239E"/>
    <w:rsid w:val="0063267C"/>
    <w:rsid w:val="00632E4E"/>
    <w:rsid w:val="00636D0C"/>
    <w:rsid w:val="00636E95"/>
    <w:rsid w:val="00636EA0"/>
    <w:rsid w:val="006374DB"/>
    <w:rsid w:val="006413BD"/>
    <w:rsid w:val="00642C90"/>
    <w:rsid w:val="00643506"/>
    <w:rsid w:val="006435D0"/>
    <w:rsid w:val="00644D04"/>
    <w:rsid w:val="00646B6D"/>
    <w:rsid w:val="00647EDD"/>
    <w:rsid w:val="00650FAA"/>
    <w:rsid w:val="00652D9C"/>
    <w:rsid w:val="00653741"/>
    <w:rsid w:val="00654435"/>
    <w:rsid w:val="00654EC2"/>
    <w:rsid w:val="00656404"/>
    <w:rsid w:val="00660F0C"/>
    <w:rsid w:val="00661AF9"/>
    <w:rsid w:val="00662268"/>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2704"/>
    <w:rsid w:val="00674B58"/>
    <w:rsid w:val="00674F77"/>
    <w:rsid w:val="0067712E"/>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3CEB"/>
    <w:rsid w:val="00703F98"/>
    <w:rsid w:val="00706A8A"/>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38C"/>
    <w:rsid w:val="00723AD1"/>
    <w:rsid w:val="0072599E"/>
    <w:rsid w:val="00725C91"/>
    <w:rsid w:val="00726521"/>
    <w:rsid w:val="007279EB"/>
    <w:rsid w:val="00727BAE"/>
    <w:rsid w:val="0073012E"/>
    <w:rsid w:val="00731AE5"/>
    <w:rsid w:val="007323BE"/>
    <w:rsid w:val="00732B0E"/>
    <w:rsid w:val="00736508"/>
    <w:rsid w:val="00736BA6"/>
    <w:rsid w:val="0073740C"/>
    <w:rsid w:val="00737A57"/>
    <w:rsid w:val="00737D4E"/>
    <w:rsid w:val="00737F09"/>
    <w:rsid w:val="00740C6F"/>
    <w:rsid w:val="00740DC3"/>
    <w:rsid w:val="00742D30"/>
    <w:rsid w:val="007454A6"/>
    <w:rsid w:val="00745B59"/>
    <w:rsid w:val="00745D8D"/>
    <w:rsid w:val="00746B42"/>
    <w:rsid w:val="00747021"/>
    <w:rsid w:val="00750529"/>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52BF"/>
    <w:rsid w:val="00767816"/>
    <w:rsid w:val="00767C17"/>
    <w:rsid w:val="00770AD8"/>
    <w:rsid w:val="00771EB3"/>
    <w:rsid w:val="00772F9C"/>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22F8"/>
    <w:rsid w:val="007D40B0"/>
    <w:rsid w:val="007D5BDA"/>
    <w:rsid w:val="007D6615"/>
    <w:rsid w:val="007D6832"/>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1B45"/>
    <w:rsid w:val="008334AB"/>
    <w:rsid w:val="00833EAA"/>
    <w:rsid w:val="00835E89"/>
    <w:rsid w:val="00837942"/>
    <w:rsid w:val="00843176"/>
    <w:rsid w:val="008444CE"/>
    <w:rsid w:val="00847158"/>
    <w:rsid w:val="008547AA"/>
    <w:rsid w:val="008551D8"/>
    <w:rsid w:val="008556E1"/>
    <w:rsid w:val="00855F89"/>
    <w:rsid w:val="00856059"/>
    <w:rsid w:val="0085704C"/>
    <w:rsid w:val="008600B9"/>
    <w:rsid w:val="0086085A"/>
    <w:rsid w:val="00860B51"/>
    <w:rsid w:val="008618D0"/>
    <w:rsid w:val="00862329"/>
    <w:rsid w:val="00862E47"/>
    <w:rsid w:val="0086340B"/>
    <w:rsid w:val="008635B5"/>
    <w:rsid w:val="00865F07"/>
    <w:rsid w:val="00866326"/>
    <w:rsid w:val="00866949"/>
    <w:rsid w:val="00870676"/>
    <w:rsid w:val="008738CC"/>
    <w:rsid w:val="00873901"/>
    <w:rsid w:val="008745DC"/>
    <w:rsid w:val="00874658"/>
    <w:rsid w:val="008805C5"/>
    <w:rsid w:val="00880D6B"/>
    <w:rsid w:val="008820F7"/>
    <w:rsid w:val="00882FAC"/>
    <w:rsid w:val="00885049"/>
    <w:rsid w:val="00886635"/>
    <w:rsid w:val="00886F89"/>
    <w:rsid w:val="00887351"/>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C81"/>
    <w:rsid w:val="008A72D8"/>
    <w:rsid w:val="008B1D4D"/>
    <w:rsid w:val="008B2043"/>
    <w:rsid w:val="008B299D"/>
    <w:rsid w:val="008B33DB"/>
    <w:rsid w:val="008B3524"/>
    <w:rsid w:val="008B374B"/>
    <w:rsid w:val="008B4214"/>
    <w:rsid w:val="008C1C80"/>
    <w:rsid w:val="008C3F55"/>
    <w:rsid w:val="008C66FC"/>
    <w:rsid w:val="008D10EA"/>
    <w:rsid w:val="008D11EF"/>
    <w:rsid w:val="008D2632"/>
    <w:rsid w:val="008D2DC4"/>
    <w:rsid w:val="008D42C4"/>
    <w:rsid w:val="008D4BC3"/>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129"/>
    <w:rsid w:val="008F736F"/>
    <w:rsid w:val="008F7AB0"/>
    <w:rsid w:val="008F7C33"/>
    <w:rsid w:val="00901C9F"/>
    <w:rsid w:val="00903AF0"/>
    <w:rsid w:val="00903E21"/>
    <w:rsid w:val="009042EA"/>
    <w:rsid w:val="009048C4"/>
    <w:rsid w:val="00904B7A"/>
    <w:rsid w:val="00904DA3"/>
    <w:rsid w:val="00904ED4"/>
    <w:rsid w:val="00906A87"/>
    <w:rsid w:val="00907D1F"/>
    <w:rsid w:val="00910E91"/>
    <w:rsid w:val="0091270B"/>
    <w:rsid w:val="00913178"/>
    <w:rsid w:val="009138DB"/>
    <w:rsid w:val="0091421A"/>
    <w:rsid w:val="00914942"/>
    <w:rsid w:val="00914C13"/>
    <w:rsid w:val="00915FE3"/>
    <w:rsid w:val="00917866"/>
    <w:rsid w:val="00917D22"/>
    <w:rsid w:val="00920A26"/>
    <w:rsid w:val="00921E9F"/>
    <w:rsid w:val="00923F3E"/>
    <w:rsid w:val="0092409F"/>
    <w:rsid w:val="0092446F"/>
    <w:rsid w:val="00924CCD"/>
    <w:rsid w:val="00924F20"/>
    <w:rsid w:val="00925654"/>
    <w:rsid w:val="009269C7"/>
    <w:rsid w:val="00930330"/>
    <w:rsid w:val="00930720"/>
    <w:rsid w:val="00930B2F"/>
    <w:rsid w:val="00931AC7"/>
    <w:rsid w:val="00933AAB"/>
    <w:rsid w:val="00934348"/>
    <w:rsid w:val="00940FC4"/>
    <w:rsid w:val="0094206A"/>
    <w:rsid w:val="0094238F"/>
    <w:rsid w:val="0094258B"/>
    <w:rsid w:val="00944002"/>
    <w:rsid w:val="0094732C"/>
    <w:rsid w:val="00947C0E"/>
    <w:rsid w:val="00947DC3"/>
    <w:rsid w:val="009516B5"/>
    <w:rsid w:val="00952FD0"/>
    <w:rsid w:val="00954CD2"/>
    <w:rsid w:val="009567BB"/>
    <w:rsid w:val="0096025E"/>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3F43"/>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6D0C"/>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9F67E0"/>
    <w:rsid w:val="00A027A7"/>
    <w:rsid w:val="00A039C8"/>
    <w:rsid w:val="00A05DDC"/>
    <w:rsid w:val="00A06B89"/>
    <w:rsid w:val="00A0754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75037"/>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131"/>
    <w:rsid w:val="00AA3456"/>
    <w:rsid w:val="00AA4A3E"/>
    <w:rsid w:val="00AA5938"/>
    <w:rsid w:val="00AB01E7"/>
    <w:rsid w:val="00AB03CA"/>
    <w:rsid w:val="00AB056A"/>
    <w:rsid w:val="00AB0654"/>
    <w:rsid w:val="00AB182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2946"/>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5245"/>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516"/>
    <w:rsid w:val="00B546C8"/>
    <w:rsid w:val="00B54AC6"/>
    <w:rsid w:val="00B5514F"/>
    <w:rsid w:val="00B55DAB"/>
    <w:rsid w:val="00B5633C"/>
    <w:rsid w:val="00B56C5D"/>
    <w:rsid w:val="00B56EF9"/>
    <w:rsid w:val="00B57D2E"/>
    <w:rsid w:val="00B6029C"/>
    <w:rsid w:val="00B60750"/>
    <w:rsid w:val="00B61023"/>
    <w:rsid w:val="00B61081"/>
    <w:rsid w:val="00B613E7"/>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89F"/>
    <w:rsid w:val="00B8753C"/>
    <w:rsid w:val="00B90FDD"/>
    <w:rsid w:val="00B91131"/>
    <w:rsid w:val="00B911BC"/>
    <w:rsid w:val="00B93EC4"/>
    <w:rsid w:val="00B955DF"/>
    <w:rsid w:val="00B95AD4"/>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5874"/>
    <w:rsid w:val="00BF75E2"/>
    <w:rsid w:val="00BF7836"/>
    <w:rsid w:val="00C001DA"/>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3E2"/>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460"/>
    <w:rsid w:val="00C84B86"/>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C7A60"/>
    <w:rsid w:val="00CD0202"/>
    <w:rsid w:val="00CD20CD"/>
    <w:rsid w:val="00CD27DA"/>
    <w:rsid w:val="00CD372D"/>
    <w:rsid w:val="00CD5132"/>
    <w:rsid w:val="00CD6C0C"/>
    <w:rsid w:val="00CD7246"/>
    <w:rsid w:val="00CD749C"/>
    <w:rsid w:val="00CE1681"/>
    <w:rsid w:val="00CE273F"/>
    <w:rsid w:val="00CE2FC9"/>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61000"/>
    <w:rsid w:val="00D62A7C"/>
    <w:rsid w:val="00D631C9"/>
    <w:rsid w:val="00D636AE"/>
    <w:rsid w:val="00D639A1"/>
    <w:rsid w:val="00D65ADE"/>
    <w:rsid w:val="00D66606"/>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00"/>
    <w:rsid w:val="00E0098F"/>
    <w:rsid w:val="00E0171A"/>
    <w:rsid w:val="00E02569"/>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1B"/>
    <w:rsid w:val="00E41AA1"/>
    <w:rsid w:val="00E43224"/>
    <w:rsid w:val="00E44AD3"/>
    <w:rsid w:val="00E45178"/>
    <w:rsid w:val="00E464BD"/>
    <w:rsid w:val="00E50831"/>
    <w:rsid w:val="00E5094C"/>
    <w:rsid w:val="00E512C9"/>
    <w:rsid w:val="00E52CC0"/>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1C72"/>
    <w:rsid w:val="00EB2539"/>
    <w:rsid w:val="00EB4B88"/>
    <w:rsid w:val="00EB50D4"/>
    <w:rsid w:val="00EB5C5F"/>
    <w:rsid w:val="00EB65BC"/>
    <w:rsid w:val="00EB75E1"/>
    <w:rsid w:val="00EC06F3"/>
    <w:rsid w:val="00EC4D34"/>
    <w:rsid w:val="00EC608C"/>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23D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178"/>
    <w:rsid w:val="00F1328E"/>
    <w:rsid w:val="00F14173"/>
    <w:rsid w:val="00F15AFA"/>
    <w:rsid w:val="00F15CFA"/>
    <w:rsid w:val="00F15ECA"/>
    <w:rsid w:val="00F16D53"/>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64FD5"/>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4D4B"/>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9"/>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3"/>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styleId="UnresolvedMention">
    <w:name w:val="Unresolved Mention"/>
    <w:basedOn w:val="DefaultParagraphFont"/>
    <w:uiPriority w:val="99"/>
    <w:semiHidden/>
    <w:unhideWhenUsed/>
    <w:rsid w:val="00925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117" Type="http://schemas.openxmlformats.org/officeDocument/2006/relationships/header" Target="header8.xml"/><Relationship Id="rId21" Type="http://schemas.openxmlformats.org/officeDocument/2006/relationships/hyperlink" Target="https://www.govinfo.gov/content/pkg/FR-2022-01-27/pdf/2022-00292.pdf" TargetMode="External"/><Relationship Id="rId42" Type="http://schemas.openxmlformats.org/officeDocument/2006/relationships/hyperlink" Target="Agency%20Adoption%20of%20the%20UG%20and%20Example%20Citations.pdf" TargetMode="External"/><Relationship Id="rId47" Type="http://schemas.openxmlformats.org/officeDocument/2006/relationships/hyperlink" Target="Selected_Items_of_Cost_Part_3_ComplianceSupplement.pdf" TargetMode="External"/><Relationship Id="rId63" Type="http://schemas.openxmlformats.org/officeDocument/2006/relationships/hyperlink" Target="45%20CFR%20Part%2095.pdf" TargetMode="External"/><Relationship Id="rId68" Type="http://schemas.openxmlformats.org/officeDocument/2006/relationships/hyperlink" Target="2%20CFR%20Part%20200.pdf" TargetMode="External"/><Relationship Id="rId84" Type="http://schemas.openxmlformats.org/officeDocument/2006/relationships/hyperlink" Target="48%20CFR%20Part%2044.pdf" TargetMode="External"/><Relationship Id="rId89" Type="http://schemas.openxmlformats.org/officeDocument/2006/relationships/hyperlink" Target="48%20CFR%2052.215-12.pdf" TargetMode="External"/><Relationship Id="rId112" Type="http://schemas.openxmlformats.org/officeDocument/2006/relationships/hyperlink" Target="48CFR52.244-5.pdf" TargetMode="External"/><Relationship Id="rId133" Type="http://schemas.openxmlformats.org/officeDocument/2006/relationships/hyperlink" Target="OMB_Part%206.pdf" TargetMode="External"/><Relationship Id="rId138" Type="http://schemas.openxmlformats.org/officeDocument/2006/relationships/image" Target="media/image3.gif"/><Relationship Id="rId16" Type="http://schemas.openxmlformats.org/officeDocument/2006/relationships/header" Target="header1.xml"/><Relationship Id="rId107" Type="http://schemas.openxmlformats.org/officeDocument/2006/relationships/hyperlink" Target="48%20CFR%2052.203-13.pdf" TargetMode="External"/><Relationship Id="rId11" Type="http://schemas.openxmlformats.org/officeDocument/2006/relationships/hyperlink" Target="mailto:AOSFederal@ohioauditor.gov" TargetMode="External"/><Relationship Id="rId32"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37" Type="http://schemas.openxmlformats.org/officeDocument/2006/relationships/hyperlink" Target="https://ohioauditor.gov/resources/covid19_assistance.html" TargetMode="External"/><Relationship Id="rId53" Type="http://schemas.openxmlformats.org/officeDocument/2006/relationships/hyperlink" Target="https://www.coso.org/Shared%20Documents/Framework-Executive-Summary.pdf" TargetMode="External"/><Relationship Id="rId58" Type="http://schemas.openxmlformats.org/officeDocument/2006/relationships/hyperlink" Target="https://www.gao.gov/assets/gao-14-704g.pdf" TargetMode="External"/><Relationship Id="rId74" Type="http://schemas.openxmlformats.org/officeDocument/2006/relationships/header" Target="header7.xml"/><Relationship Id="rId79" Type="http://schemas.openxmlformats.org/officeDocument/2006/relationships/hyperlink" Target="48%20CFR%2052.203-13.pdf" TargetMode="External"/><Relationship Id="rId102" Type="http://schemas.openxmlformats.org/officeDocument/2006/relationships/hyperlink" Target="https://home.treasury.gov/system/files/136/SLFRF-Final-Rule-FAQ.pdf" TargetMode="External"/><Relationship Id="rId123" Type="http://schemas.openxmlformats.org/officeDocument/2006/relationships/hyperlink" Target="https://home.treasury.gov/policy-issues/coronavirus/assistance-for-state-local-and-tribal-governments/state-and-local-fiscal-recovery-funds/recipient-compliance-and-reporting-responsibilities" TargetMode="External"/><Relationship Id="rId128" Type="http://schemas.openxmlformats.org/officeDocument/2006/relationships/hyperlink" Target="Agency%20Adoption%20of%20the%20UG%20and%20Example%20Citations.pdf" TargetMode="External"/><Relationship Id="rId144"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www.cfo.gov/wp-content/uploads/2014/12/Agency-Exceptions.pdf" TargetMode="External"/><Relationship Id="rId95" Type="http://schemas.openxmlformats.org/officeDocument/2006/relationships/hyperlink" Target="https://www.sam.gov/" TargetMode="External"/><Relationship Id="rId22" Type="http://schemas.openxmlformats.org/officeDocument/2006/relationships/hyperlink" Target="https://home.treasury.gov/policy-issues/coronavirus/assistance-for-state-local-and-tribal-governments/state-and-local-fiscal-recovery-funds" TargetMode="External"/><Relationship Id="rId27" Type="http://schemas.openxmlformats.org/officeDocument/2006/relationships/hyperlink" Target="http://www.ohioauditor.gov/references/practiceaids.html" TargetMode="External"/><Relationship Id="rId43" Type="http://schemas.openxmlformats.org/officeDocument/2006/relationships/hyperlink" Target="2%20CFR%20Part%20200.pdf" TargetMode="External"/><Relationship Id="rId48" Type="http://schemas.openxmlformats.org/officeDocument/2006/relationships/hyperlink" Target="https://home.treasury.gov/system/files/136/SLFRF-Final-Rule-FAQ.pdf" TargetMode="External"/><Relationship Id="rId64" Type="http://schemas.openxmlformats.org/officeDocument/2006/relationships/hyperlink" Target="45%20CFR%20Part%2095.pdf" TargetMode="External"/><Relationship Id="rId69" Type="http://schemas.openxmlformats.org/officeDocument/2006/relationships/hyperlink" Target="https://www.cfo.gov/wp-content/uploads/2014/12/Agency-Exceptions.pdf" TargetMode="External"/><Relationship Id="rId113" Type="http://schemas.openxmlformats.org/officeDocument/2006/relationships/hyperlink" Target="48%20CFR%2015.404-3.pdf" TargetMode="External"/><Relationship Id="rId118" Type="http://schemas.openxmlformats.org/officeDocument/2006/relationships/hyperlink" Target="Agency%20Adoption%20of%20the%20UG%20and%20Example%20Citations.pdf" TargetMode="External"/><Relationship Id="rId134" Type="http://schemas.openxmlformats.org/officeDocument/2006/relationships/hyperlink" Target="https://www.coso.org/Shared%20Documents/Framework-Executive-Summary.pdf" TargetMode="External"/><Relationship Id="rId139" Type="http://schemas.openxmlformats.org/officeDocument/2006/relationships/hyperlink" Target="2%20CFR%20Part%20200.pdf" TargetMode="External"/><Relationship Id="rId8" Type="http://schemas.openxmlformats.org/officeDocument/2006/relationships/webSettings" Target="webSettings.xml"/><Relationship Id="rId51" Type="http://schemas.openxmlformats.org/officeDocument/2006/relationships/hyperlink" Target="https://www.gao.gov/assets/gao-14-704g.pdf" TargetMode="External"/><Relationship Id="rId72" Type="http://schemas.openxmlformats.org/officeDocument/2006/relationships/hyperlink" Target="https://www.coso.org/Shared%20Documents/Framework-Executive-Summary.pdf" TargetMode="External"/><Relationship Id="rId80" Type="http://schemas.openxmlformats.org/officeDocument/2006/relationships/hyperlink" Target="48%20CFR%2052.203-16.pdf" TargetMode="External"/><Relationship Id="rId85" Type="http://schemas.openxmlformats.org/officeDocument/2006/relationships/hyperlink" Target="48%20CFR%2052.244-2.pdf" TargetMode="External"/><Relationship Id="rId93" Type="http://schemas.openxmlformats.org/officeDocument/2006/relationships/hyperlink" Target="2%20CFR%20Part%20180.pdf" TargetMode="External"/><Relationship Id="rId98" Type="http://schemas.openxmlformats.org/officeDocument/2006/relationships/hyperlink" Target="2%20CFR%20Part%20180.pdf" TargetMode="External"/><Relationship Id="rId121" Type="http://schemas.openxmlformats.org/officeDocument/2006/relationships/hyperlink" Target="https://www.cfo.gov/wp-content/uploads/2014/12/Agency-Exceptions.pdf" TargetMode="External"/><Relationship Id="rId142" Type="http://schemas.openxmlformats.org/officeDocument/2006/relationships/header" Target="header11.xml"/><Relationship Id="rId3" Type="http://schemas.openxmlformats.org/officeDocument/2006/relationships/customXml" Target="../customXml/item3.xml"/><Relationship Id="rId12" Type="http://schemas.openxmlformats.org/officeDocument/2006/relationships/hyperlink" Target="OMB_Appendix%20VII.pdf" TargetMode="External"/><Relationship Id="rId17" Type="http://schemas.openxmlformats.org/officeDocument/2006/relationships/hyperlink" Target="https://www.whitehouse.gov/wp-content/uploads/2022/05/2022-Compliance-Supplement_PDF_Rev_05.11.22.pdf" TargetMode="External"/><Relationship Id="rId25" Type="http://schemas.openxmlformats.org/officeDocument/2006/relationships/hyperlink" Target="mailto:SLFRF@treasury.gov" TargetMode="External"/><Relationship Id="rId33" Type="http://schemas.openxmlformats.org/officeDocument/2006/relationships/hyperlink" Target="https://home.treasury.gov/system/files/136/SLFRPFAQ.pdf" TargetMode="External"/><Relationship Id="rId38" Type="http://schemas.openxmlformats.org/officeDocument/2006/relationships/hyperlink" Target="https://home.treasury.gov/policy-issues/coronavirus/assistance-for-state-local-and-tribal-governments/state-and-local-fiscal-recovery-funds" TargetMode="External"/><Relationship Id="rId46"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59" Type="http://schemas.openxmlformats.org/officeDocument/2006/relationships/hyperlink" Target="45%20CFR%20Part%2095.pdf" TargetMode="External"/><Relationship Id="rId67" Type="http://schemas.openxmlformats.org/officeDocument/2006/relationships/hyperlink" Target="Agency%20Adoption%20of%20the%20UG%20and%20Example%20Citations.pdf" TargetMode="External"/><Relationship Id="rId103" Type="http://schemas.openxmlformats.org/officeDocument/2006/relationships/hyperlink" Target="https://home.treasury.gov/system/files/136/SLFRF-Final-Rule-FAQ.pdf" TargetMode="External"/><Relationship Id="rId108" Type="http://schemas.openxmlformats.org/officeDocument/2006/relationships/hyperlink" Target="48%20CFR%2052.203-16.pdf" TargetMode="External"/><Relationship Id="rId116" Type="http://schemas.openxmlformats.org/officeDocument/2006/relationships/hyperlink" Target="48%20CFR%2052.209-6.pdf" TargetMode="External"/><Relationship Id="rId124" Type="http://schemas.openxmlformats.org/officeDocument/2006/relationships/hyperlink" Target="OMB_Part%206.pdf" TargetMode="External"/><Relationship Id="rId129" Type="http://schemas.openxmlformats.org/officeDocument/2006/relationships/hyperlink" Target="2%20CFR%20Part%20200.pdf" TargetMode="External"/><Relationship Id="rId137" Type="http://schemas.openxmlformats.org/officeDocument/2006/relationships/hyperlink" Target="https://checkpoint.riag.com/app/view/docPermaLink?DocID=iAICPAIGS:767.2440&amp;docTid=T0AICPAIGS:767.2440-1&amp;feature=ttoc&amp;lastCpReqId=97899&amp;tlltype=AICPAIGS:767.2668" TargetMode="External"/><Relationship Id="rId20" Type="http://schemas.openxmlformats.org/officeDocument/2006/relationships/hyperlink" Target="https://www.govinfo.gov/content/pkg/FR-2021-05-17/pdf/2021-10283.pdf" TargetMode="External"/><Relationship Id="rId41" Type="http://schemas.openxmlformats.org/officeDocument/2006/relationships/header" Target="header5.xml"/><Relationship Id="rId54" Type="http://schemas.openxmlformats.org/officeDocument/2006/relationships/hyperlink" Target="https://www.gao.gov/assets/gao-14-704g.pdf" TargetMode="External"/><Relationship Id="rId62" Type="http://schemas.openxmlformats.org/officeDocument/2006/relationships/hyperlink" Target="https://www.gao.gov/assets/gao-14-704g.pdf" TargetMode="External"/><Relationship Id="rId70"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75" Type="http://schemas.openxmlformats.org/officeDocument/2006/relationships/hyperlink" Target="Agency%20Adoption%20of%20the%20UG%20and%20Example%20Citations.pdf" TargetMode="External"/><Relationship Id="rId83" Type="http://schemas.openxmlformats.org/officeDocument/2006/relationships/hyperlink" Target="48%20CFR%20Part%2015.pdf" TargetMode="External"/><Relationship Id="rId88" Type="http://schemas.openxmlformats.org/officeDocument/2006/relationships/hyperlink" Target="48%20CFR%2052.203-16.pdf" TargetMode="External"/><Relationship Id="rId9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96" Type="http://schemas.openxmlformats.org/officeDocument/2006/relationships/hyperlink" Target="2%20CFR%20Part%20180.pdf" TargetMode="External"/><Relationship Id="rId111" Type="http://schemas.openxmlformats.org/officeDocument/2006/relationships/hyperlink" Target="48CFR52.244-5.pdf" TargetMode="External"/><Relationship Id="rId132" Type="http://schemas.openxmlformats.org/officeDocument/2006/relationships/hyperlink" Target="https://home.treasury.gov/system/files/136/SLFRF-Final-Rule-FAQ.pdf" TargetMode="External"/><Relationship Id="rId140" Type="http://schemas.openxmlformats.org/officeDocument/2006/relationships/hyperlink" Target="OMB_Appendix%20II.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Agency%20Adoption%20of%20the%20UG%20and%20Example%20Citations.pdf" TargetMode="External"/><Relationship Id="rId23" Type="http://schemas.openxmlformats.org/officeDocument/2006/relationships/hyperlink" Target="https://home.treasury.gov/policy-issues/coronavirus/assistance-for-state-local-and-tribal-governments/state-and-local-fiscal-recovery-funds/recipient-compliance-and-reporting-responsibilities" TargetMode="External"/><Relationship Id="rId28" Type="http://schemas.openxmlformats.org/officeDocument/2006/relationships/header" Target="header4.xml"/><Relationship Id="rId36" Type="http://schemas.openxmlformats.org/officeDocument/2006/relationships/hyperlink" Target="https://www.gao.gov/assets/gao-14-704g.pdf" TargetMode="External"/><Relationship Id="rId49" Type="http://schemas.openxmlformats.org/officeDocument/2006/relationships/hyperlink" Target="OMB_Part%206.pdf" TargetMode="External"/><Relationship Id="rId57" Type="http://schemas.openxmlformats.org/officeDocument/2006/relationships/hyperlink" Target="https://www.coso.org/Shared%20Documents/Framework-Executive-Summary.pdf" TargetMode="External"/><Relationship Id="rId106" Type="http://schemas.openxmlformats.org/officeDocument/2006/relationships/hyperlink" Target="https://www.gao.gov/assets/gao-14-704g.pdf" TargetMode="External"/><Relationship Id="rId114" Type="http://schemas.openxmlformats.org/officeDocument/2006/relationships/hyperlink" Target="48%20CFR%2052.244-2.pdf" TargetMode="External"/><Relationship Id="rId119" Type="http://schemas.openxmlformats.org/officeDocument/2006/relationships/hyperlink" Target="2%20CFR%20Part%20200.pdf" TargetMode="External"/><Relationship Id="rId127" Type="http://schemas.openxmlformats.org/officeDocument/2006/relationships/header" Target="header9.xml"/><Relationship Id="rId10" Type="http://schemas.openxmlformats.org/officeDocument/2006/relationships/endnotes" Target="endnotes.xml"/><Relationship Id="rId31" Type="http://schemas.openxmlformats.org/officeDocument/2006/relationships/hyperlink" Target="https://www.cfo.gov/wp-content/uploads/2014/12/Agency-Exceptions.pdf" TargetMode="External"/><Relationship Id="rId44" Type="http://schemas.openxmlformats.org/officeDocument/2006/relationships/hyperlink" Target="Appendix%20IX%20to%20Part%2075_%20Title%2045.pdf" TargetMode="External"/><Relationship Id="rId52" Type="http://schemas.openxmlformats.org/officeDocument/2006/relationships/hyperlink" Target="OMB_Part%206.pdf" TargetMode="External"/><Relationship Id="rId60" Type="http://schemas.openxmlformats.org/officeDocument/2006/relationships/hyperlink" Target="OMB_Part%206.pdf" TargetMode="External"/><Relationship Id="rId65" Type="http://schemas.openxmlformats.org/officeDocument/2006/relationships/hyperlink" Target="Cost%20Principles%20for%20Nonprofit%20Organizations.pdf" TargetMode="External"/><Relationship Id="rId73" Type="http://schemas.openxmlformats.org/officeDocument/2006/relationships/hyperlink" Target="https://www.gao.gov/assets/gao-14-704g.pdf" TargetMode="External"/><Relationship Id="rId78" Type="http://schemas.openxmlformats.org/officeDocument/2006/relationships/hyperlink" Target="48CFR52.244-5.pdf" TargetMode="External"/><Relationship Id="rId81" Type="http://schemas.openxmlformats.org/officeDocument/2006/relationships/hyperlink" Target="48%20CFR%2052.215-12.pdf" TargetMode="External"/><Relationship Id="rId86" Type="http://schemas.openxmlformats.org/officeDocument/2006/relationships/hyperlink" Target="48CFR52.244-5.pdf" TargetMode="External"/><Relationship Id="rId94" Type="http://schemas.openxmlformats.org/officeDocument/2006/relationships/hyperlink" Target="2%20CFR%20Part%20180.pdf" TargetMode="External"/><Relationship Id="rId99" Type="http://schemas.openxmlformats.org/officeDocument/2006/relationships/hyperlink" Target="OMB_Appendix%20II.pdf" TargetMode="External"/><Relationship Id="rId101" Type="http://schemas.openxmlformats.org/officeDocument/2006/relationships/hyperlink" Target="48%20CFR%2052.209-6.pdf" TargetMode="External"/><Relationship Id="rId122"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30" Type="http://schemas.openxmlformats.org/officeDocument/2006/relationships/hyperlink" Target="https://www.cfo.gov/wp-content/uploads/2014/12/Agency-Exceptions.pdf" TargetMode="External"/><Relationship Id="rId135" Type="http://schemas.openxmlformats.org/officeDocument/2006/relationships/hyperlink" Target="https://www.gao.gov/assets/gao-14-704g.pdf" TargetMode="External"/><Relationship Id="rId14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image" Target="media/image2.emf"/><Relationship Id="rId109" Type="http://schemas.openxmlformats.org/officeDocument/2006/relationships/hyperlink" Target="48%20CFR%20Part%2044.pdf" TargetMode="External"/><Relationship Id="rId34" Type="http://schemas.openxmlformats.org/officeDocument/2006/relationships/hyperlink" Target="OMB_Part%206.pdf" TargetMode="External"/><Relationship Id="rId50" Type="http://schemas.openxmlformats.org/officeDocument/2006/relationships/hyperlink" Target="https://www.coso.org/Shared%20Documents/Framework-Executive-Summary.pdf" TargetMode="External"/><Relationship Id="rId55" Type="http://schemas.openxmlformats.org/officeDocument/2006/relationships/hyperlink" Target="Testing%20the%20ICRP%20discussion.pdf" TargetMode="External"/><Relationship Id="rId76" Type="http://schemas.openxmlformats.org/officeDocument/2006/relationships/hyperlink" Target="2%20CFR%20Part%20200.pdf" TargetMode="External"/><Relationship Id="rId97" Type="http://schemas.openxmlformats.org/officeDocument/2006/relationships/hyperlink" Target="48%20CFR%2052.209-6.pdf" TargetMode="External"/><Relationship Id="rId104" Type="http://schemas.openxmlformats.org/officeDocument/2006/relationships/hyperlink" Target="OMB_Part%206.pdf" TargetMode="External"/><Relationship Id="rId120" Type="http://schemas.openxmlformats.org/officeDocument/2006/relationships/hyperlink" Target="https://www.usaspending.gov/search" TargetMode="External"/><Relationship Id="rId125" Type="http://schemas.openxmlformats.org/officeDocument/2006/relationships/hyperlink" Target="https://www.coso.org/Shared%20Documents/Framework-Executive-Summary.pdf" TargetMode="External"/><Relationship Id="rId141" Type="http://schemas.openxmlformats.org/officeDocument/2006/relationships/hyperlink" Target="https://www.cfo.gov/wp-content/uploads/2014/12/Agency-Exceptions.pdf" TargetMode="External"/><Relationship Id="rId7" Type="http://schemas.openxmlformats.org/officeDocument/2006/relationships/settings" Target="settings.xml"/><Relationship Id="rId71" Type="http://schemas.openxmlformats.org/officeDocument/2006/relationships/hyperlink" Target="OMB_Part%206.pdf" TargetMode="External"/><Relationship Id="rId92" Type="http://schemas.openxmlformats.org/officeDocument/2006/relationships/hyperlink" Target="2%20CFR%20Part%20180.pdf" TargetMode="External"/><Relationship Id="rId2" Type="http://schemas.openxmlformats.org/officeDocument/2006/relationships/customXml" Target="../customXml/item2.xml"/><Relationship Id="rId29" Type="http://schemas.openxmlformats.org/officeDocument/2006/relationships/hyperlink" Target="Agency%20Adoption%20of%20the%20UG%20and%20Example%20Citations.pdf" TargetMode="External"/><Relationship Id="rId24" Type="http://schemas.openxmlformats.org/officeDocument/2006/relationships/hyperlink" Target="https://home.treasury.gov/policy-issues/coronavirus/assistance-for-state-local-and-tribal-governments/state-and-local-fiscal-recovery-funds" TargetMode="External"/><Relationship Id="rId40" Type="http://schemas.openxmlformats.org/officeDocument/2006/relationships/package" Target="embeddings/Microsoft_Excel_Worksheet.xlsx"/><Relationship Id="rId45" Type="http://schemas.openxmlformats.org/officeDocument/2006/relationships/hyperlink" Target="https://www.cfo.gov/wp-content/uploads/2014/12/Agency-Exceptions.pdf" TargetMode="External"/><Relationship Id="rId66" Type="http://schemas.openxmlformats.org/officeDocument/2006/relationships/header" Target="header6.xml"/><Relationship Id="rId87" Type="http://schemas.openxmlformats.org/officeDocument/2006/relationships/hyperlink" Target="48%20CFR%2052.203-13.pdf" TargetMode="External"/><Relationship Id="rId110" Type="http://schemas.openxmlformats.org/officeDocument/2006/relationships/hyperlink" Target="48%20CFR%2052.244-2.pdf" TargetMode="External"/><Relationship Id="rId115" Type="http://schemas.openxmlformats.org/officeDocument/2006/relationships/hyperlink" Target="2%20CFR%20Part%20180.pdf" TargetMode="External"/><Relationship Id="rId13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36" Type="http://schemas.openxmlformats.org/officeDocument/2006/relationships/header" Target="header10.xml"/><Relationship Id="rId61" Type="http://schemas.openxmlformats.org/officeDocument/2006/relationships/hyperlink" Target="https://www.coso.org/Shared%20Documents/Framework-Executive-Summary.pdf" TargetMode="External"/><Relationship Id="rId82" Type="http://schemas.openxmlformats.org/officeDocument/2006/relationships/hyperlink" Target="48%20CFR%20Part%203.pdf" TargetMode="External"/><Relationship Id="rId19" Type="http://schemas.openxmlformats.org/officeDocument/2006/relationships/hyperlink" Target="OMB_Part%206.pdf" TargetMode="External"/><Relationship Id="rId14" Type="http://schemas.openxmlformats.org/officeDocument/2006/relationships/hyperlink" Target="OMB_Appendix%20II.pdf" TargetMode="External"/><Relationship Id="rId30" Type="http://schemas.openxmlformats.org/officeDocument/2006/relationships/hyperlink" Target="2%20CFR%20Part%20200.pdf" TargetMode="External"/><Relationship Id="rId35" Type="http://schemas.openxmlformats.org/officeDocument/2006/relationships/hyperlink" Target="https://www.coso.org/Shared%20Documents/Framework-Executive-Summary.pdf" TargetMode="External"/><Relationship Id="rId56" Type="http://schemas.openxmlformats.org/officeDocument/2006/relationships/hyperlink" Target="OMB_Part%206.pdf" TargetMode="External"/><Relationship Id="rId77" Type="http://schemas.openxmlformats.org/officeDocument/2006/relationships/hyperlink" Target="48%20CFR%2052.244-2.pdf" TargetMode="External"/><Relationship Id="rId100" Type="http://schemas.openxmlformats.org/officeDocument/2006/relationships/hyperlink" Target="48%20CFR%209.405-2.pdf" TargetMode="External"/><Relationship Id="rId105" Type="http://schemas.openxmlformats.org/officeDocument/2006/relationships/hyperlink" Target="https://www.coso.org/Shared%20Documents/Framework-Executive-Summary.pdf" TargetMode="External"/><Relationship Id="rId126" Type="http://schemas.openxmlformats.org/officeDocument/2006/relationships/hyperlink" Target="https://www.gao.gov/assets/gao-14-704g.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FFA731-C1FE-4C96-BBEC-70940EA812C7}">
  <ds:schemaRefs>
    <ds:schemaRef ds:uri="http://schemas.openxmlformats.org/officeDocument/2006/bibliography"/>
  </ds:schemaRefs>
</ds:datastoreItem>
</file>

<file path=customXml/itemProps2.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CEAD5-0F54-441D-9957-C57457F50EE3}">
  <ds:schemaRefs>
    <ds:schemaRef ds:uri="http://schemas.microsoft.com/office/2006/documentManagement/types"/>
    <ds:schemaRef ds:uri="http://schemas.microsoft.com/office/infopath/2007/PartnerControls"/>
    <ds:schemaRef ds:uri="368cc7de-4582-4402-8653-1f6c5fcb9822"/>
    <ds:schemaRef ds:uri="http://purl.org/dc/elements/1.1/"/>
    <ds:schemaRef ds:uri="http://schemas.microsoft.com/office/2006/metadata/properties"/>
    <ds:schemaRef ds:uri="http://purl.org/dc/terms/"/>
    <ds:schemaRef ds:uri="http://schemas.openxmlformats.org/package/2006/metadata/core-properties"/>
    <ds:schemaRef ds:uri="7e4091d6-ac26-408d-9936-3b28227d19d9"/>
    <ds:schemaRef ds:uri="http://www.w3.org/XML/1998/namespace"/>
    <ds:schemaRef ds:uri="http://purl.org/dc/dcmitype/"/>
  </ds:schemaRefs>
</ds:datastoreItem>
</file>

<file path=customXml/itemProps4.xml><?xml version="1.0" encoding="utf-8"?>
<ds:datastoreItem xmlns:ds="http://schemas.openxmlformats.org/officeDocument/2006/customXml" ds:itemID="{246278AD-EA9B-4B2A-9154-238B9E8332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69</Pages>
  <Words>25113</Words>
  <Characters>155231</Characters>
  <Application>Microsoft Office Word</Application>
  <DocSecurity>0</DocSecurity>
  <Lines>1293</Lines>
  <Paragraphs>359</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179985</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10</cp:revision>
  <cp:lastPrinted>2015-07-01T17:39:00Z</cp:lastPrinted>
  <dcterms:created xsi:type="dcterms:W3CDTF">2022-10-21T00:40:00Z</dcterms:created>
  <dcterms:modified xsi:type="dcterms:W3CDTF">2023-03-02T14:27:00Z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