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66622BA6" w:rsidR="007814B6" w:rsidRPr="00A0464C" w:rsidRDefault="0084674E" w:rsidP="006672EA">
            <w:pPr>
              <w:jc w:val="both"/>
              <w:rPr>
                <w:rFonts w:ascii="Arial" w:hAnsi="Arial" w:cs="Arial"/>
                <w:sz w:val="24"/>
                <w:szCs w:val="24"/>
              </w:rPr>
            </w:pPr>
            <w:r w:rsidRPr="00A83250">
              <w:rPr>
                <w:rFonts w:ascii="Arial" w:hAnsi="Arial" w:cs="Arial"/>
                <w:sz w:val="24"/>
                <w:szCs w:val="24"/>
              </w:rPr>
              <w:t>Special Supplemental Nutrition Program for Women, Infants, and Children (WIC)</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14C4063B" w:rsidR="007814B6" w:rsidRPr="00A0464C" w:rsidRDefault="0084674E" w:rsidP="006672EA">
            <w:pPr>
              <w:jc w:val="both"/>
              <w:rPr>
                <w:rFonts w:ascii="Arial" w:hAnsi="Arial" w:cs="Arial"/>
                <w:sz w:val="24"/>
                <w:szCs w:val="24"/>
              </w:rPr>
            </w:pPr>
            <w:r>
              <w:rPr>
                <w:rFonts w:ascii="Arial" w:hAnsi="Arial" w:cs="Arial"/>
                <w:sz w:val="24"/>
                <w:szCs w:val="24"/>
              </w:rPr>
              <w:t>10.557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8606044"/>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49BFBE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7C17CD">
        <w:rPr>
          <w:rFonts w:ascii="Arial" w:hAnsi="Arial" w:cs="Arial"/>
          <w:bCs/>
        </w:rPr>
        <w:t xml:space="preserve"> receiving pass-through funding from the Ohio Department of Health (ODH)</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569F0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A3CDAF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3FEEAEB" w:rsidR="004717CE" w:rsidRPr="00F00D94" w:rsidRDefault="004717CE" w:rsidP="00C96EF3">
      <w:pPr>
        <w:pStyle w:val="BodyText"/>
        <w:widowControl w:val="0"/>
        <w:numPr>
          <w:ilvl w:val="0"/>
          <w:numId w:val="30"/>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079C078" w:rsidR="004717CE" w:rsidRPr="00F00D94" w:rsidRDefault="004717CE" w:rsidP="00C96EF3">
      <w:pPr>
        <w:pStyle w:val="BodyText"/>
        <w:widowControl w:val="0"/>
        <w:numPr>
          <w:ilvl w:val="0"/>
          <w:numId w:val="30"/>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07DF0E26" w:rsidR="004717CE" w:rsidRPr="004717CE" w:rsidRDefault="004717CE" w:rsidP="00C96EF3">
      <w:pPr>
        <w:pStyle w:val="BodyText"/>
        <w:widowControl w:val="0"/>
        <w:numPr>
          <w:ilvl w:val="0"/>
          <w:numId w:val="30"/>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3D2DAF51" w:rsidR="00DF7D32" w:rsidRDefault="004717CE" w:rsidP="00C96EF3">
      <w:pPr>
        <w:pStyle w:val="BodyText"/>
        <w:widowControl w:val="0"/>
        <w:numPr>
          <w:ilvl w:val="0"/>
          <w:numId w:val="30"/>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0185367F" w14:textId="77777777" w:rsidR="00743F85" w:rsidRDefault="00743F85" w:rsidP="00743F85">
      <w:pPr>
        <w:pStyle w:val="BodyText"/>
        <w:widowControl w:val="0"/>
        <w:autoSpaceDE w:val="0"/>
        <w:autoSpaceDN w:val="0"/>
        <w:spacing w:after="0"/>
        <w:ind w:left="36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8606045"/>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C96EF3">
      <w:pPr>
        <w:pStyle w:val="ListParagraph"/>
        <w:numPr>
          <w:ilvl w:val="0"/>
          <w:numId w:val="45"/>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C96EF3">
      <w:pPr>
        <w:pStyle w:val="ListParagraph"/>
        <w:numPr>
          <w:ilvl w:val="0"/>
          <w:numId w:val="45"/>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8606046"/>
      <w:bookmarkEnd w:id="3"/>
      <w:r w:rsidRPr="00A0464C">
        <w:rPr>
          <w:rFonts w:cs="Arial"/>
          <w:sz w:val="24"/>
        </w:rPr>
        <w:lastRenderedPageBreak/>
        <w:t>A</w:t>
      </w:r>
      <w:r w:rsidR="00A0464C">
        <w:rPr>
          <w:rFonts w:cs="Arial"/>
          <w:sz w:val="24"/>
        </w:rPr>
        <w:t>gency Adoption of the UG and Example Citations</w:t>
      </w:r>
      <w:bookmarkEnd w:id="4"/>
    </w:p>
    <w:p w14:paraId="35D2AAD9" w14:textId="12482CEC"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0FD706E2"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01ED9738"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8606047"/>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75F22B3" w14:textId="681E7C37" w:rsidR="00B73684"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8606044" w:history="1">
            <w:r w:rsidR="00B73684" w:rsidRPr="00AC33D7">
              <w:rPr>
                <w:rStyle w:val="Hyperlink"/>
                <w:rFonts w:cs="Arial"/>
                <w:noProof/>
              </w:rPr>
              <w:t>Important Information</w:t>
            </w:r>
            <w:r w:rsidR="00B73684">
              <w:rPr>
                <w:noProof/>
                <w:webHidden/>
              </w:rPr>
              <w:tab/>
            </w:r>
            <w:r w:rsidR="00B73684">
              <w:rPr>
                <w:noProof/>
                <w:webHidden/>
              </w:rPr>
              <w:fldChar w:fldCharType="begin"/>
            </w:r>
            <w:r w:rsidR="00B73684">
              <w:rPr>
                <w:noProof/>
                <w:webHidden/>
              </w:rPr>
              <w:instrText xml:space="preserve"> PAGEREF _Toc188606044 \h </w:instrText>
            </w:r>
            <w:r w:rsidR="00B73684">
              <w:rPr>
                <w:noProof/>
                <w:webHidden/>
              </w:rPr>
            </w:r>
            <w:r w:rsidR="00B73684">
              <w:rPr>
                <w:noProof/>
                <w:webHidden/>
              </w:rPr>
              <w:fldChar w:fldCharType="separate"/>
            </w:r>
            <w:r w:rsidR="00B73684">
              <w:rPr>
                <w:noProof/>
                <w:webHidden/>
              </w:rPr>
              <w:t>1</w:t>
            </w:r>
            <w:r w:rsidR="00B73684">
              <w:rPr>
                <w:noProof/>
                <w:webHidden/>
              </w:rPr>
              <w:fldChar w:fldCharType="end"/>
            </w:r>
          </w:hyperlink>
        </w:p>
        <w:p w14:paraId="77C30464" w14:textId="3643A553"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45" w:history="1">
            <w:r w:rsidRPr="00AC33D7">
              <w:rPr>
                <w:rStyle w:val="Hyperlink"/>
                <w:noProof/>
              </w:rPr>
              <w:t>2024 Uniform Guidance Updates</w:t>
            </w:r>
            <w:r>
              <w:rPr>
                <w:noProof/>
                <w:webHidden/>
              </w:rPr>
              <w:tab/>
            </w:r>
            <w:r>
              <w:rPr>
                <w:noProof/>
                <w:webHidden/>
              </w:rPr>
              <w:fldChar w:fldCharType="begin"/>
            </w:r>
            <w:r>
              <w:rPr>
                <w:noProof/>
                <w:webHidden/>
              </w:rPr>
              <w:instrText xml:space="preserve"> PAGEREF _Toc188606045 \h </w:instrText>
            </w:r>
            <w:r>
              <w:rPr>
                <w:noProof/>
                <w:webHidden/>
              </w:rPr>
            </w:r>
            <w:r>
              <w:rPr>
                <w:noProof/>
                <w:webHidden/>
              </w:rPr>
              <w:fldChar w:fldCharType="separate"/>
            </w:r>
            <w:r>
              <w:rPr>
                <w:noProof/>
                <w:webHidden/>
              </w:rPr>
              <w:t>2</w:t>
            </w:r>
            <w:r>
              <w:rPr>
                <w:noProof/>
                <w:webHidden/>
              </w:rPr>
              <w:fldChar w:fldCharType="end"/>
            </w:r>
          </w:hyperlink>
        </w:p>
        <w:p w14:paraId="0F8C6897" w14:textId="1D05D782"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46" w:history="1">
            <w:r w:rsidRPr="00AC33D7">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_Toc188606046 \h </w:instrText>
            </w:r>
            <w:r>
              <w:rPr>
                <w:noProof/>
                <w:webHidden/>
              </w:rPr>
            </w:r>
            <w:r>
              <w:rPr>
                <w:noProof/>
                <w:webHidden/>
              </w:rPr>
              <w:fldChar w:fldCharType="separate"/>
            </w:r>
            <w:r>
              <w:rPr>
                <w:noProof/>
                <w:webHidden/>
              </w:rPr>
              <w:t>3</w:t>
            </w:r>
            <w:r>
              <w:rPr>
                <w:noProof/>
                <w:webHidden/>
              </w:rPr>
              <w:fldChar w:fldCharType="end"/>
            </w:r>
          </w:hyperlink>
        </w:p>
        <w:p w14:paraId="189530DD" w14:textId="2E063A2F"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47" w:history="1">
            <w:r w:rsidRPr="00AC33D7">
              <w:rPr>
                <w:rStyle w:val="Hyperlink"/>
                <w:rFonts w:cs="Arial"/>
                <w:noProof/>
              </w:rPr>
              <w:t>Table of Contents</w:t>
            </w:r>
            <w:r>
              <w:rPr>
                <w:noProof/>
                <w:webHidden/>
              </w:rPr>
              <w:tab/>
            </w:r>
            <w:r>
              <w:rPr>
                <w:noProof/>
                <w:webHidden/>
              </w:rPr>
              <w:fldChar w:fldCharType="begin"/>
            </w:r>
            <w:r>
              <w:rPr>
                <w:noProof/>
                <w:webHidden/>
              </w:rPr>
              <w:instrText xml:space="preserve"> PAGEREF _Toc188606047 \h </w:instrText>
            </w:r>
            <w:r>
              <w:rPr>
                <w:noProof/>
                <w:webHidden/>
              </w:rPr>
            </w:r>
            <w:r>
              <w:rPr>
                <w:noProof/>
                <w:webHidden/>
              </w:rPr>
              <w:fldChar w:fldCharType="separate"/>
            </w:r>
            <w:r>
              <w:rPr>
                <w:noProof/>
                <w:webHidden/>
              </w:rPr>
              <w:t>4</w:t>
            </w:r>
            <w:r>
              <w:rPr>
                <w:noProof/>
                <w:webHidden/>
              </w:rPr>
              <w:fldChar w:fldCharType="end"/>
            </w:r>
          </w:hyperlink>
        </w:p>
        <w:p w14:paraId="2E80571E" w14:textId="3EB04E64"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48" w:history="1">
            <w:r w:rsidRPr="00AC33D7">
              <w:rPr>
                <w:rStyle w:val="Hyperlink"/>
                <w:rFonts w:cs="Arial"/>
                <w:noProof/>
              </w:rPr>
              <w:t>Compliance Requirement Matrix</w:t>
            </w:r>
            <w:r>
              <w:rPr>
                <w:noProof/>
                <w:webHidden/>
              </w:rPr>
              <w:tab/>
            </w:r>
            <w:r>
              <w:rPr>
                <w:noProof/>
                <w:webHidden/>
              </w:rPr>
              <w:fldChar w:fldCharType="begin"/>
            </w:r>
            <w:r>
              <w:rPr>
                <w:noProof/>
                <w:webHidden/>
              </w:rPr>
              <w:instrText xml:space="preserve"> PAGEREF _Toc188606048 \h </w:instrText>
            </w:r>
            <w:r>
              <w:rPr>
                <w:noProof/>
                <w:webHidden/>
              </w:rPr>
            </w:r>
            <w:r>
              <w:rPr>
                <w:noProof/>
                <w:webHidden/>
              </w:rPr>
              <w:fldChar w:fldCharType="separate"/>
            </w:r>
            <w:r>
              <w:rPr>
                <w:noProof/>
                <w:webHidden/>
              </w:rPr>
              <w:t>6</w:t>
            </w:r>
            <w:r>
              <w:rPr>
                <w:noProof/>
                <w:webHidden/>
              </w:rPr>
              <w:fldChar w:fldCharType="end"/>
            </w:r>
          </w:hyperlink>
        </w:p>
        <w:p w14:paraId="0C9AE2A8" w14:textId="0B5D1593"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49" w:history="1">
            <w:r w:rsidRPr="00AC33D7">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_Toc188606049 \h </w:instrText>
            </w:r>
            <w:r>
              <w:rPr>
                <w:noProof/>
                <w:webHidden/>
              </w:rPr>
            </w:r>
            <w:r>
              <w:rPr>
                <w:noProof/>
                <w:webHidden/>
              </w:rPr>
              <w:fldChar w:fldCharType="separate"/>
            </w:r>
            <w:r>
              <w:rPr>
                <w:noProof/>
                <w:webHidden/>
              </w:rPr>
              <w:t>10</w:t>
            </w:r>
            <w:r>
              <w:rPr>
                <w:noProof/>
                <w:webHidden/>
              </w:rPr>
              <w:fldChar w:fldCharType="end"/>
            </w:r>
          </w:hyperlink>
        </w:p>
        <w:p w14:paraId="2CF608D2" w14:textId="19D9042F"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0" w:history="1">
            <w:r w:rsidRPr="00AC33D7">
              <w:rPr>
                <w:rStyle w:val="Hyperlink"/>
                <w:rFonts w:cs="Arial"/>
                <w:noProof/>
              </w:rPr>
              <w:t>I. Program Objectives</w:t>
            </w:r>
            <w:r>
              <w:rPr>
                <w:noProof/>
                <w:webHidden/>
              </w:rPr>
              <w:tab/>
            </w:r>
            <w:r>
              <w:rPr>
                <w:noProof/>
                <w:webHidden/>
              </w:rPr>
              <w:fldChar w:fldCharType="begin"/>
            </w:r>
            <w:r>
              <w:rPr>
                <w:noProof/>
                <w:webHidden/>
              </w:rPr>
              <w:instrText xml:space="preserve"> PAGEREF _Toc188606050 \h </w:instrText>
            </w:r>
            <w:r>
              <w:rPr>
                <w:noProof/>
                <w:webHidden/>
              </w:rPr>
            </w:r>
            <w:r>
              <w:rPr>
                <w:noProof/>
                <w:webHidden/>
              </w:rPr>
              <w:fldChar w:fldCharType="separate"/>
            </w:r>
            <w:r>
              <w:rPr>
                <w:noProof/>
                <w:webHidden/>
              </w:rPr>
              <w:t>10</w:t>
            </w:r>
            <w:r>
              <w:rPr>
                <w:noProof/>
                <w:webHidden/>
              </w:rPr>
              <w:fldChar w:fldCharType="end"/>
            </w:r>
          </w:hyperlink>
        </w:p>
        <w:p w14:paraId="75BD2632" w14:textId="35165687"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1" w:history="1">
            <w:r w:rsidRPr="00AC33D7">
              <w:rPr>
                <w:rStyle w:val="Hyperlink"/>
                <w:rFonts w:cs="Arial"/>
                <w:noProof/>
              </w:rPr>
              <w:t>II. Program Procedures</w:t>
            </w:r>
            <w:r>
              <w:rPr>
                <w:noProof/>
                <w:webHidden/>
              </w:rPr>
              <w:tab/>
            </w:r>
            <w:r>
              <w:rPr>
                <w:noProof/>
                <w:webHidden/>
              </w:rPr>
              <w:fldChar w:fldCharType="begin"/>
            </w:r>
            <w:r>
              <w:rPr>
                <w:noProof/>
                <w:webHidden/>
              </w:rPr>
              <w:instrText xml:space="preserve"> PAGEREF _Toc188606051 \h </w:instrText>
            </w:r>
            <w:r>
              <w:rPr>
                <w:noProof/>
                <w:webHidden/>
              </w:rPr>
            </w:r>
            <w:r>
              <w:rPr>
                <w:noProof/>
                <w:webHidden/>
              </w:rPr>
              <w:fldChar w:fldCharType="separate"/>
            </w:r>
            <w:r>
              <w:rPr>
                <w:noProof/>
                <w:webHidden/>
              </w:rPr>
              <w:t>10</w:t>
            </w:r>
            <w:r>
              <w:rPr>
                <w:noProof/>
                <w:webHidden/>
              </w:rPr>
              <w:fldChar w:fldCharType="end"/>
            </w:r>
          </w:hyperlink>
        </w:p>
        <w:p w14:paraId="746F380F" w14:textId="64BBCCF4"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2" w:history="1">
            <w:r w:rsidRPr="00AC33D7">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_Toc188606052 \h </w:instrText>
            </w:r>
            <w:r>
              <w:rPr>
                <w:noProof/>
                <w:webHidden/>
              </w:rPr>
            </w:r>
            <w:r>
              <w:rPr>
                <w:noProof/>
                <w:webHidden/>
              </w:rPr>
              <w:fldChar w:fldCharType="separate"/>
            </w:r>
            <w:r>
              <w:rPr>
                <w:noProof/>
                <w:webHidden/>
              </w:rPr>
              <w:t>14</w:t>
            </w:r>
            <w:r>
              <w:rPr>
                <w:noProof/>
                <w:webHidden/>
              </w:rPr>
              <w:fldChar w:fldCharType="end"/>
            </w:r>
          </w:hyperlink>
        </w:p>
        <w:p w14:paraId="69C686DE" w14:textId="056E02A0"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3" w:history="1">
            <w:r w:rsidRPr="00AC33D7">
              <w:rPr>
                <w:rStyle w:val="Hyperlink"/>
                <w:rFonts w:cs="Arial"/>
                <w:noProof/>
              </w:rPr>
              <w:t>IV. Other Information</w:t>
            </w:r>
            <w:r>
              <w:rPr>
                <w:noProof/>
                <w:webHidden/>
              </w:rPr>
              <w:tab/>
            </w:r>
            <w:r>
              <w:rPr>
                <w:noProof/>
                <w:webHidden/>
              </w:rPr>
              <w:fldChar w:fldCharType="begin"/>
            </w:r>
            <w:r>
              <w:rPr>
                <w:noProof/>
                <w:webHidden/>
              </w:rPr>
              <w:instrText xml:space="preserve"> PAGEREF _Toc188606053 \h </w:instrText>
            </w:r>
            <w:r>
              <w:rPr>
                <w:noProof/>
                <w:webHidden/>
              </w:rPr>
            </w:r>
            <w:r>
              <w:rPr>
                <w:noProof/>
                <w:webHidden/>
              </w:rPr>
              <w:fldChar w:fldCharType="separate"/>
            </w:r>
            <w:r>
              <w:rPr>
                <w:noProof/>
                <w:webHidden/>
              </w:rPr>
              <w:t>14</w:t>
            </w:r>
            <w:r>
              <w:rPr>
                <w:noProof/>
                <w:webHidden/>
              </w:rPr>
              <w:fldChar w:fldCharType="end"/>
            </w:r>
          </w:hyperlink>
        </w:p>
        <w:p w14:paraId="0030D063" w14:textId="6456AA87"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54" w:history="1">
            <w:r w:rsidRPr="00AC33D7">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_Toc188606054 \h </w:instrText>
            </w:r>
            <w:r>
              <w:rPr>
                <w:noProof/>
                <w:webHidden/>
              </w:rPr>
            </w:r>
            <w:r>
              <w:rPr>
                <w:noProof/>
                <w:webHidden/>
              </w:rPr>
              <w:fldChar w:fldCharType="separate"/>
            </w:r>
            <w:r>
              <w:rPr>
                <w:noProof/>
                <w:webHidden/>
              </w:rPr>
              <w:t>15</w:t>
            </w:r>
            <w:r>
              <w:rPr>
                <w:noProof/>
                <w:webHidden/>
              </w:rPr>
              <w:fldChar w:fldCharType="end"/>
            </w:r>
          </w:hyperlink>
        </w:p>
        <w:p w14:paraId="6BB7225B" w14:textId="348D9C1A"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5" w:history="1">
            <w:r w:rsidRPr="00AC33D7">
              <w:rPr>
                <w:rStyle w:val="Hyperlink"/>
                <w:rFonts w:cs="Arial"/>
                <w:noProof/>
              </w:rPr>
              <w:t>Program Overview</w:t>
            </w:r>
            <w:r>
              <w:rPr>
                <w:noProof/>
                <w:webHidden/>
              </w:rPr>
              <w:tab/>
            </w:r>
            <w:r>
              <w:rPr>
                <w:noProof/>
                <w:webHidden/>
              </w:rPr>
              <w:fldChar w:fldCharType="begin"/>
            </w:r>
            <w:r>
              <w:rPr>
                <w:noProof/>
                <w:webHidden/>
              </w:rPr>
              <w:instrText xml:space="preserve"> PAGEREF _Toc188606055 \h </w:instrText>
            </w:r>
            <w:r>
              <w:rPr>
                <w:noProof/>
                <w:webHidden/>
              </w:rPr>
            </w:r>
            <w:r>
              <w:rPr>
                <w:noProof/>
                <w:webHidden/>
              </w:rPr>
              <w:fldChar w:fldCharType="separate"/>
            </w:r>
            <w:r>
              <w:rPr>
                <w:noProof/>
                <w:webHidden/>
              </w:rPr>
              <w:t>15</w:t>
            </w:r>
            <w:r>
              <w:rPr>
                <w:noProof/>
                <w:webHidden/>
              </w:rPr>
              <w:fldChar w:fldCharType="end"/>
            </w:r>
          </w:hyperlink>
        </w:p>
        <w:p w14:paraId="6BADE655" w14:textId="5A7FCECF"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6" w:history="1">
            <w:r w:rsidRPr="00AC33D7">
              <w:rPr>
                <w:rStyle w:val="Hyperlink"/>
                <w:rFonts w:cs="Arial"/>
                <w:noProof/>
              </w:rPr>
              <w:t>Testing Considerations</w:t>
            </w:r>
            <w:r>
              <w:rPr>
                <w:noProof/>
                <w:webHidden/>
              </w:rPr>
              <w:tab/>
            </w:r>
            <w:r>
              <w:rPr>
                <w:noProof/>
                <w:webHidden/>
              </w:rPr>
              <w:fldChar w:fldCharType="begin"/>
            </w:r>
            <w:r>
              <w:rPr>
                <w:noProof/>
                <w:webHidden/>
              </w:rPr>
              <w:instrText xml:space="preserve"> PAGEREF _Toc188606056 \h </w:instrText>
            </w:r>
            <w:r>
              <w:rPr>
                <w:noProof/>
                <w:webHidden/>
              </w:rPr>
            </w:r>
            <w:r>
              <w:rPr>
                <w:noProof/>
                <w:webHidden/>
              </w:rPr>
              <w:fldChar w:fldCharType="separate"/>
            </w:r>
            <w:r>
              <w:rPr>
                <w:noProof/>
                <w:webHidden/>
              </w:rPr>
              <w:t>15</w:t>
            </w:r>
            <w:r>
              <w:rPr>
                <w:noProof/>
                <w:webHidden/>
              </w:rPr>
              <w:fldChar w:fldCharType="end"/>
            </w:r>
          </w:hyperlink>
        </w:p>
        <w:p w14:paraId="096A3B0D" w14:textId="04D129E3"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57" w:history="1">
            <w:r w:rsidRPr="00AC33D7">
              <w:rPr>
                <w:rStyle w:val="Hyperlink"/>
                <w:rFonts w:cs="Arial"/>
                <w:noProof/>
              </w:rPr>
              <w:t>Reporting</w:t>
            </w:r>
            <w:r>
              <w:rPr>
                <w:noProof/>
                <w:webHidden/>
              </w:rPr>
              <w:tab/>
            </w:r>
            <w:r>
              <w:rPr>
                <w:noProof/>
                <w:webHidden/>
              </w:rPr>
              <w:fldChar w:fldCharType="begin"/>
            </w:r>
            <w:r>
              <w:rPr>
                <w:noProof/>
                <w:webHidden/>
              </w:rPr>
              <w:instrText xml:space="preserve"> PAGEREF _Toc188606057 \h </w:instrText>
            </w:r>
            <w:r>
              <w:rPr>
                <w:noProof/>
                <w:webHidden/>
              </w:rPr>
            </w:r>
            <w:r>
              <w:rPr>
                <w:noProof/>
                <w:webHidden/>
              </w:rPr>
              <w:fldChar w:fldCharType="separate"/>
            </w:r>
            <w:r>
              <w:rPr>
                <w:noProof/>
                <w:webHidden/>
              </w:rPr>
              <w:t>17</w:t>
            </w:r>
            <w:r>
              <w:rPr>
                <w:noProof/>
                <w:webHidden/>
              </w:rPr>
              <w:fldChar w:fldCharType="end"/>
            </w:r>
          </w:hyperlink>
        </w:p>
        <w:p w14:paraId="4B68120D" w14:textId="6A42B444" w:rsidR="00B73684" w:rsidRDefault="00B73684">
          <w:pPr>
            <w:pStyle w:val="TOC1"/>
            <w:rPr>
              <w:rFonts w:asciiTheme="minorHAnsi" w:eastAsiaTheme="minorEastAsia" w:hAnsiTheme="minorHAnsi" w:cstheme="minorBidi"/>
              <w:noProof/>
              <w:kern w:val="2"/>
              <w:sz w:val="24"/>
              <w:szCs w:val="24"/>
              <w14:ligatures w14:val="standardContextual"/>
            </w:rPr>
          </w:pPr>
          <w:hyperlink w:anchor="_Toc188606058" w:history="1">
            <w:r w:rsidRPr="00AC33D7">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_Toc188606058 \h </w:instrText>
            </w:r>
            <w:r>
              <w:rPr>
                <w:noProof/>
                <w:webHidden/>
              </w:rPr>
            </w:r>
            <w:r>
              <w:rPr>
                <w:noProof/>
                <w:webHidden/>
              </w:rPr>
              <w:fldChar w:fldCharType="separate"/>
            </w:r>
            <w:r>
              <w:rPr>
                <w:noProof/>
                <w:webHidden/>
              </w:rPr>
              <w:t>18</w:t>
            </w:r>
            <w:r>
              <w:rPr>
                <w:noProof/>
                <w:webHidden/>
              </w:rPr>
              <w:fldChar w:fldCharType="end"/>
            </w:r>
          </w:hyperlink>
        </w:p>
        <w:p w14:paraId="72895CA1" w14:textId="10A6A7D6" w:rsidR="00B73684" w:rsidRDefault="00B73684">
          <w:pPr>
            <w:pStyle w:val="TOC2"/>
            <w:rPr>
              <w:rFonts w:asciiTheme="minorHAnsi" w:eastAsiaTheme="minorEastAsia" w:hAnsiTheme="minorHAnsi" w:cstheme="minorBidi"/>
              <w:bCs w:val="0"/>
              <w:kern w:val="2"/>
              <w:sz w:val="24"/>
              <w14:ligatures w14:val="standardContextual"/>
            </w:rPr>
          </w:pPr>
          <w:hyperlink w:anchor="_Toc188606059" w:history="1">
            <w:r w:rsidRPr="00AC33D7">
              <w:rPr>
                <w:rStyle w:val="Hyperlink"/>
              </w:rPr>
              <w:t>A.  ACTIVITIES ALLOWED OR UNALLOWED</w:t>
            </w:r>
            <w:r>
              <w:rPr>
                <w:webHidden/>
              </w:rPr>
              <w:tab/>
            </w:r>
            <w:r>
              <w:rPr>
                <w:webHidden/>
              </w:rPr>
              <w:fldChar w:fldCharType="begin"/>
            </w:r>
            <w:r>
              <w:rPr>
                <w:webHidden/>
              </w:rPr>
              <w:instrText xml:space="preserve"> PAGEREF _Toc188606059 \h </w:instrText>
            </w:r>
            <w:r>
              <w:rPr>
                <w:webHidden/>
              </w:rPr>
            </w:r>
            <w:r>
              <w:rPr>
                <w:webHidden/>
              </w:rPr>
              <w:fldChar w:fldCharType="separate"/>
            </w:r>
            <w:r>
              <w:rPr>
                <w:webHidden/>
              </w:rPr>
              <w:t>18</w:t>
            </w:r>
            <w:r>
              <w:rPr>
                <w:webHidden/>
              </w:rPr>
              <w:fldChar w:fldCharType="end"/>
            </w:r>
          </w:hyperlink>
        </w:p>
        <w:p w14:paraId="1AB37983" w14:textId="5E5BC7DA"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0" w:history="1">
            <w:r w:rsidRPr="00AC33D7">
              <w:rPr>
                <w:rStyle w:val="Hyperlink"/>
                <w:rFonts w:cs="Arial"/>
                <w:noProof/>
              </w:rPr>
              <w:t>OMB Compliance Requirements</w:t>
            </w:r>
            <w:r>
              <w:rPr>
                <w:noProof/>
                <w:webHidden/>
              </w:rPr>
              <w:tab/>
            </w:r>
            <w:r>
              <w:rPr>
                <w:noProof/>
                <w:webHidden/>
              </w:rPr>
              <w:fldChar w:fldCharType="begin"/>
            </w:r>
            <w:r>
              <w:rPr>
                <w:noProof/>
                <w:webHidden/>
              </w:rPr>
              <w:instrText xml:space="preserve"> PAGEREF _Toc188606060 \h </w:instrText>
            </w:r>
            <w:r>
              <w:rPr>
                <w:noProof/>
                <w:webHidden/>
              </w:rPr>
            </w:r>
            <w:r>
              <w:rPr>
                <w:noProof/>
                <w:webHidden/>
              </w:rPr>
              <w:fldChar w:fldCharType="separate"/>
            </w:r>
            <w:r>
              <w:rPr>
                <w:noProof/>
                <w:webHidden/>
              </w:rPr>
              <w:t>18</w:t>
            </w:r>
            <w:r>
              <w:rPr>
                <w:noProof/>
                <w:webHidden/>
              </w:rPr>
              <w:fldChar w:fldCharType="end"/>
            </w:r>
          </w:hyperlink>
        </w:p>
        <w:p w14:paraId="72495527" w14:textId="4E20DEFC"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1"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_Toc188606061 \h </w:instrText>
            </w:r>
            <w:r>
              <w:rPr>
                <w:noProof/>
                <w:webHidden/>
              </w:rPr>
            </w:r>
            <w:r>
              <w:rPr>
                <w:noProof/>
                <w:webHidden/>
              </w:rPr>
              <w:fldChar w:fldCharType="separate"/>
            </w:r>
            <w:r>
              <w:rPr>
                <w:noProof/>
                <w:webHidden/>
              </w:rPr>
              <w:t>19</w:t>
            </w:r>
            <w:r>
              <w:rPr>
                <w:noProof/>
                <w:webHidden/>
              </w:rPr>
              <w:fldChar w:fldCharType="end"/>
            </w:r>
          </w:hyperlink>
        </w:p>
        <w:p w14:paraId="0254ACB6" w14:textId="10DBC223"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2" w:history="1">
            <w:r w:rsidRPr="00AC33D7">
              <w:rPr>
                <w:rStyle w:val="Hyperlink"/>
                <w:noProof/>
              </w:rPr>
              <w:t>Audit Objectives and Control Testing</w:t>
            </w:r>
            <w:r>
              <w:rPr>
                <w:noProof/>
                <w:webHidden/>
              </w:rPr>
              <w:tab/>
            </w:r>
            <w:r>
              <w:rPr>
                <w:noProof/>
                <w:webHidden/>
              </w:rPr>
              <w:fldChar w:fldCharType="begin"/>
            </w:r>
            <w:r>
              <w:rPr>
                <w:noProof/>
                <w:webHidden/>
              </w:rPr>
              <w:instrText xml:space="preserve"> PAGEREF _Toc188606062 \h </w:instrText>
            </w:r>
            <w:r>
              <w:rPr>
                <w:noProof/>
                <w:webHidden/>
              </w:rPr>
            </w:r>
            <w:r>
              <w:rPr>
                <w:noProof/>
                <w:webHidden/>
              </w:rPr>
              <w:fldChar w:fldCharType="separate"/>
            </w:r>
            <w:r>
              <w:rPr>
                <w:noProof/>
                <w:webHidden/>
              </w:rPr>
              <w:t>24</w:t>
            </w:r>
            <w:r>
              <w:rPr>
                <w:noProof/>
                <w:webHidden/>
              </w:rPr>
              <w:fldChar w:fldCharType="end"/>
            </w:r>
          </w:hyperlink>
        </w:p>
        <w:p w14:paraId="05727932" w14:textId="091462F8"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3" w:history="1">
            <w:r w:rsidRPr="00AC33D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_Toc188606063 \h </w:instrText>
            </w:r>
            <w:r>
              <w:rPr>
                <w:noProof/>
                <w:webHidden/>
              </w:rPr>
            </w:r>
            <w:r>
              <w:rPr>
                <w:noProof/>
                <w:webHidden/>
              </w:rPr>
              <w:fldChar w:fldCharType="separate"/>
            </w:r>
            <w:r>
              <w:rPr>
                <w:noProof/>
                <w:webHidden/>
              </w:rPr>
              <w:t>24</w:t>
            </w:r>
            <w:r>
              <w:rPr>
                <w:noProof/>
                <w:webHidden/>
              </w:rPr>
              <w:fldChar w:fldCharType="end"/>
            </w:r>
          </w:hyperlink>
        </w:p>
        <w:p w14:paraId="13A013B0" w14:textId="50DE1CAA"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4"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_Toc188606064 \h </w:instrText>
            </w:r>
            <w:r>
              <w:rPr>
                <w:noProof/>
                <w:webHidden/>
              </w:rPr>
            </w:r>
            <w:r>
              <w:rPr>
                <w:noProof/>
                <w:webHidden/>
              </w:rPr>
              <w:fldChar w:fldCharType="separate"/>
            </w:r>
            <w:r>
              <w:rPr>
                <w:noProof/>
                <w:webHidden/>
              </w:rPr>
              <w:t>25</w:t>
            </w:r>
            <w:r>
              <w:rPr>
                <w:noProof/>
                <w:webHidden/>
              </w:rPr>
              <w:fldChar w:fldCharType="end"/>
            </w:r>
          </w:hyperlink>
        </w:p>
        <w:p w14:paraId="7F200AF6" w14:textId="1DF267B3" w:rsidR="00B73684" w:rsidRDefault="00B73684">
          <w:pPr>
            <w:pStyle w:val="TOC2"/>
            <w:rPr>
              <w:rFonts w:asciiTheme="minorHAnsi" w:eastAsiaTheme="minorEastAsia" w:hAnsiTheme="minorHAnsi" w:cstheme="minorBidi"/>
              <w:bCs w:val="0"/>
              <w:kern w:val="2"/>
              <w:sz w:val="24"/>
              <w14:ligatures w14:val="standardContextual"/>
            </w:rPr>
          </w:pPr>
          <w:hyperlink w:anchor="_Toc188606065" w:history="1">
            <w:r w:rsidRPr="00AC33D7">
              <w:rPr>
                <w:rStyle w:val="Hyperlink"/>
              </w:rPr>
              <w:t>B.  ALLOWABLE COSTS/COST PRINCIPLES</w:t>
            </w:r>
            <w:r>
              <w:rPr>
                <w:webHidden/>
              </w:rPr>
              <w:tab/>
            </w:r>
            <w:r>
              <w:rPr>
                <w:webHidden/>
              </w:rPr>
              <w:fldChar w:fldCharType="begin"/>
            </w:r>
            <w:r>
              <w:rPr>
                <w:webHidden/>
              </w:rPr>
              <w:instrText xml:space="preserve"> PAGEREF _Toc188606065 \h </w:instrText>
            </w:r>
            <w:r>
              <w:rPr>
                <w:webHidden/>
              </w:rPr>
            </w:r>
            <w:r>
              <w:rPr>
                <w:webHidden/>
              </w:rPr>
              <w:fldChar w:fldCharType="separate"/>
            </w:r>
            <w:r>
              <w:rPr>
                <w:webHidden/>
              </w:rPr>
              <w:t>26</w:t>
            </w:r>
            <w:r>
              <w:rPr>
                <w:webHidden/>
              </w:rPr>
              <w:fldChar w:fldCharType="end"/>
            </w:r>
          </w:hyperlink>
        </w:p>
        <w:p w14:paraId="0B516DA1" w14:textId="669BC413"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6" w:history="1">
            <w:r w:rsidRPr="00AC33D7">
              <w:rPr>
                <w:rStyle w:val="Hyperlink"/>
                <w:rFonts w:cs="Arial"/>
                <w:noProof/>
              </w:rPr>
              <w:t>Applicability of Cost Principles</w:t>
            </w:r>
            <w:r>
              <w:rPr>
                <w:noProof/>
                <w:webHidden/>
              </w:rPr>
              <w:tab/>
            </w:r>
            <w:r>
              <w:rPr>
                <w:noProof/>
                <w:webHidden/>
              </w:rPr>
              <w:fldChar w:fldCharType="begin"/>
            </w:r>
            <w:r>
              <w:rPr>
                <w:noProof/>
                <w:webHidden/>
              </w:rPr>
              <w:instrText xml:space="preserve"> PAGEREF _Toc188606066 \h </w:instrText>
            </w:r>
            <w:r>
              <w:rPr>
                <w:noProof/>
                <w:webHidden/>
              </w:rPr>
            </w:r>
            <w:r>
              <w:rPr>
                <w:noProof/>
                <w:webHidden/>
              </w:rPr>
              <w:fldChar w:fldCharType="separate"/>
            </w:r>
            <w:r>
              <w:rPr>
                <w:noProof/>
                <w:webHidden/>
              </w:rPr>
              <w:t>27</w:t>
            </w:r>
            <w:r>
              <w:rPr>
                <w:noProof/>
                <w:webHidden/>
              </w:rPr>
              <w:fldChar w:fldCharType="end"/>
            </w:r>
          </w:hyperlink>
        </w:p>
        <w:p w14:paraId="4DE764B9" w14:textId="4E79CBFB"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7"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_Toc188606067 \h </w:instrText>
            </w:r>
            <w:r>
              <w:rPr>
                <w:noProof/>
                <w:webHidden/>
              </w:rPr>
            </w:r>
            <w:r>
              <w:rPr>
                <w:noProof/>
                <w:webHidden/>
              </w:rPr>
              <w:fldChar w:fldCharType="separate"/>
            </w:r>
            <w:r>
              <w:rPr>
                <w:noProof/>
                <w:webHidden/>
              </w:rPr>
              <w:t>30</w:t>
            </w:r>
            <w:r>
              <w:rPr>
                <w:noProof/>
                <w:webHidden/>
              </w:rPr>
              <w:fldChar w:fldCharType="end"/>
            </w:r>
          </w:hyperlink>
        </w:p>
        <w:p w14:paraId="410FDFA1" w14:textId="47B4744D"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8" w:history="1">
            <w:r w:rsidRPr="00AC33D7">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_Toc188606068 \h </w:instrText>
            </w:r>
            <w:r>
              <w:rPr>
                <w:noProof/>
                <w:webHidden/>
              </w:rPr>
            </w:r>
            <w:r>
              <w:rPr>
                <w:noProof/>
                <w:webHidden/>
              </w:rPr>
              <w:fldChar w:fldCharType="separate"/>
            </w:r>
            <w:r>
              <w:rPr>
                <w:noProof/>
                <w:webHidden/>
              </w:rPr>
              <w:t>37</w:t>
            </w:r>
            <w:r>
              <w:rPr>
                <w:noProof/>
                <w:webHidden/>
              </w:rPr>
              <w:fldChar w:fldCharType="end"/>
            </w:r>
          </w:hyperlink>
        </w:p>
        <w:p w14:paraId="1902F5D6" w14:textId="327719EA"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69" w:history="1">
            <w:r w:rsidRPr="00AC33D7">
              <w:rPr>
                <w:rStyle w:val="Hyperlink"/>
                <w:rFonts w:cs="Arial"/>
                <w:noProof/>
              </w:rPr>
              <w:t>OMB Compliance Requirements</w:t>
            </w:r>
            <w:r>
              <w:rPr>
                <w:noProof/>
                <w:webHidden/>
              </w:rPr>
              <w:tab/>
            </w:r>
            <w:r>
              <w:rPr>
                <w:noProof/>
                <w:webHidden/>
              </w:rPr>
              <w:fldChar w:fldCharType="begin"/>
            </w:r>
            <w:r>
              <w:rPr>
                <w:noProof/>
                <w:webHidden/>
              </w:rPr>
              <w:instrText xml:space="preserve"> PAGEREF _Toc188606069 \h </w:instrText>
            </w:r>
            <w:r>
              <w:rPr>
                <w:noProof/>
                <w:webHidden/>
              </w:rPr>
            </w:r>
            <w:r>
              <w:rPr>
                <w:noProof/>
                <w:webHidden/>
              </w:rPr>
              <w:fldChar w:fldCharType="separate"/>
            </w:r>
            <w:r>
              <w:rPr>
                <w:noProof/>
                <w:webHidden/>
              </w:rPr>
              <w:t>37</w:t>
            </w:r>
            <w:r>
              <w:rPr>
                <w:noProof/>
                <w:webHidden/>
              </w:rPr>
              <w:fldChar w:fldCharType="end"/>
            </w:r>
          </w:hyperlink>
        </w:p>
        <w:p w14:paraId="219DDE1F" w14:textId="1599BBCA"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0"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_Toc188606070 \h </w:instrText>
            </w:r>
            <w:r>
              <w:rPr>
                <w:noProof/>
                <w:webHidden/>
              </w:rPr>
            </w:r>
            <w:r>
              <w:rPr>
                <w:noProof/>
                <w:webHidden/>
              </w:rPr>
              <w:fldChar w:fldCharType="separate"/>
            </w:r>
            <w:r>
              <w:rPr>
                <w:noProof/>
                <w:webHidden/>
              </w:rPr>
              <w:t>45</w:t>
            </w:r>
            <w:r>
              <w:rPr>
                <w:noProof/>
                <w:webHidden/>
              </w:rPr>
              <w:fldChar w:fldCharType="end"/>
            </w:r>
          </w:hyperlink>
        </w:p>
        <w:p w14:paraId="405F1AC3" w14:textId="1D3B824C" w:rsidR="00B73684" w:rsidRDefault="00B73684">
          <w:pPr>
            <w:pStyle w:val="TOC2"/>
            <w:rPr>
              <w:rFonts w:asciiTheme="minorHAnsi" w:eastAsiaTheme="minorEastAsia" w:hAnsiTheme="minorHAnsi" w:cstheme="minorBidi"/>
              <w:bCs w:val="0"/>
              <w:kern w:val="2"/>
              <w:sz w:val="24"/>
              <w14:ligatures w14:val="standardContextual"/>
            </w:rPr>
          </w:pPr>
          <w:hyperlink w:anchor="_Toc188606071" w:history="1">
            <w:r w:rsidRPr="00AC33D7">
              <w:rPr>
                <w:rStyle w:val="Hyperlink"/>
              </w:rPr>
              <w:t>C. CASH MANAGEMENT</w:t>
            </w:r>
            <w:r>
              <w:rPr>
                <w:webHidden/>
              </w:rPr>
              <w:tab/>
            </w:r>
            <w:r>
              <w:rPr>
                <w:webHidden/>
              </w:rPr>
              <w:fldChar w:fldCharType="begin"/>
            </w:r>
            <w:r>
              <w:rPr>
                <w:webHidden/>
              </w:rPr>
              <w:instrText xml:space="preserve"> PAGEREF _Toc188606071 \h </w:instrText>
            </w:r>
            <w:r>
              <w:rPr>
                <w:webHidden/>
              </w:rPr>
            </w:r>
            <w:r>
              <w:rPr>
                <w:webHidden/>
              </w:rPr>
              <w:fldChar w:fldCharType="separate"/>
            </w:r>
            <w:r>
              <w:rPr>
                <w:webHidden/>
              </w:rPr>
              <w:t>47</w:t>
            </w:r>
            <w:r>
              <w:rPr>
                <w:webHidden/>
              </w:rPr>
              <w:fldChar w:fldCharType="end"/>
            </w:r>
          </w:hyperlink>
        </w:p>
        <w:p w14:paraId="1B9279F7" w14:textId="0A9B948C"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2" w:history="1">
            <w:r w:rsidRPr="00AC33D7">
              <w:rPr>
                <w:rStyle w:val="Hyperlink"/>
                <w:rFonts w:cs="Arial"/>
                <w:noProof/>
              </w:rPr>
              <w:t>OMB Compliance Requirements</w:t>
            </w:r>
            <w:r>
              <w:rPr>
                <w:noProof/>
                <w:webHidden/>
              </w:rPr>
              <w:tab/>
            </w:r>
            <w:r>
              <w:rPr>
                <w:noProof/>
                <w:webHidden/>
              </w:rPr>
              <w:fldChar w:fldCharType="begin"/>
            </w:r>
            <w:r>
              <w:rPr>
                <w:noProof/>
                <w:webHidden/>
              </w:rPr>
              <w:instrText xml:space="preserve"> PAGEREF _Toc188606072 \h </w:instrText>
            </w:r>
            <w:r>
              <w:rPr>
                <w:noProof/>
                <w:webHidden/>
              </w:rPr>
            </w:r>
            <w:r>
              <w:rPr>
                <w:noProof/>
                <w:webHidden/>
              </w:rPr>
              <w:fldChar w:fldCharType="separate"/>
            </w:r>
            <w:r>
              <w:rPr>
                <w:noProof/>
                <w:webHidden/>
              </w:rPr>
              <w:t>47</w:t>
            </w:r>
            <w:r>
              <w:rPr>
                <w:noProof/>
                <w:webHidden/>
              </w:rPr>
              <w:fldChar w:fldCharType="end"/>
            </w:r>
          </w:hyperlink>
        </w:p>
        <w:p w14:paraId="5D5DCB60" w14:textId="17C0884D"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3"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_Toc188606073 \h </w:instrText>
            </w:r>
            <w:r>
              <w:rPr>
                <w:noProof/>
                <w:webHidden/>
              </w:rPr>
            </w:r>
            <w:r>
              <w:rPr>
                <w:noProof/>
                <w:webHidden/>
              </w:rPr>
              <w:fldChar w:fldCharType="separate"/>
            </w:r>
            <w:r>
              <w:rPr>
                <w:noProof/>
                <w:webHidden/>
              </w:rPr>
              <w:t>49</w:t>
            </w:r>
            <w:r>
              <w:rPr>
                <w:noProof/>
                <w:webHidden/>
              </w:rPr>
              <w:fldChar w:fldCharType="end"/>
            </w:r>
          </w:hyperlink>
        </w:p>
        <w:p w14:paraId="72500920" w14:textId="68C365A6"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4" w:history="1">
            <w:r w:rsidRPr="00AC33D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_Toc188606074 \h </w:instrText>
            </w:r>
            <w:r>
              <w:rPr>
                <w:noProof/>
                <w:webHidden/>
              </w:rPr>
            </w:r>
            <w:r>
              <w:rPr>
                <w:noProof/>
                <w:webHidden/>
              </w:rPr>
              <w:fldChar w:fldCharType="separate"/>
            </w:r>
            <w:r>
              <w:rPr>
                <w:noProof/>
                <w:webHidden/>
              </w:rPr>
              <w:t>51</w:t>
            </w:r>
            <w:r>
              <w:rPr>
                <w:noProof/>
                <w:webHidden/>
              </w:rPr>
              <w:fldChar w:fldCharType="end"/>
            </w:r>
          </w:hyperlink>
        </w:p>
        <w:p w14:paraId="037AF602" w14:textId="0703DD4F"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5" w:history="1">
            <w:r w:rsidRPr="00AC33D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_Toc188606075 \h </w:instrText>
            </w:r>
            <w:r>
              <w:rPr>
                <w:noProof/>
                <w:webHidden/>
              </w:rPr>
            </w:r>
            <w:r>
              <w:rPr>
                <w:noProof/>
                <w:webHidden/>
              </w:rPr>
              <w:fldChar w:fldCharType="separate"/>
            </w:r>
            <w:r>
              <w:rPr>
                <w:noProof/>
                <w:webHidden/>
              </w:rPr>
              <w:t>53</w:t>
            </w:r>
            <w:r>
              <w:rPr>
                <w:noProof/>
                <w:webHidden/>
              </w:rPr>
              <w:fldChar w:fldCharType="end"/>
            </w:r>
          </w:hyperlink>
        </w:p>
        <w:p w14:paraId="1F3C5510" w14:textId="7F4575ED"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6"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_Toc188606076 \h </w:instrText>
            </w:r>
            <w:r>
              <w:rPr>
                <w:noProof/>
                <w:webHidden/>
              </w:rPr>
            </w:r>
            <w:r>
              <w:rPr>
                <w:noProof/>
                <w:webHidden/>
              </w:rPr>
              <w:fldChar w:fldCharType="separate"/>
            </w:r>
            <w:r>
              <w:rPr>
                <w:noProof/>
                <w:webHidden/>
              </w:rPr>
              <w:t>54</w:t>
            </w:r>
            <w:r>
              <w:rPr>
                <w:noProof/>
                <w:webHidden/>
              </w:rPr>
              <w:fldChar w:fldCharType="end"/>
            </w:r>
          </w:hyperlink>
        </w:p>
        <w:p w14:paraId="68981257" w14:textId="09A5D29D" w:rsidR="00B73684" w:rsidRDefault="00B73684">
          <w:pPr>
            <w:pStyle w:val="TOC2"/>
            <w:rPr>
              <w:rFonts w:asciiTheme="minorHAnsi" w:eastAsiaTheme="minorEastAsia" w:hAnsiTheme="minorHAnsi" w:cstheme="minorBidi"/>
              <w:bCs w:val="0"/>
              <w:kern w:val="2"/>
              <w:sz w:val="24"/>
              <w14:ligatures w14:val="standardContextual"/>
            </w:rPr>
          </w:pPr>
          <w:hyperlink w:anchor="_Toc188606077" w:history="1">
            <w:r w:rsidRPr="00AC33D7">
              <w:rPr>
                <w:rStyle w:val="Hyperlink"/>
              </w:rPr>
              <w:t>E.  ELIGIBILITY</w:t>
            </w:r>
            <w:r>
              <w:rPr>
                <w:webHidden/>
              </w:rPr>
              <w:tab/>
            </w:r>
            <w:r>
              <w:rPr>
                <w:webHidden/>
              </w:rPr>
              <w:fldChar w:fldCharType="begin"/>
            </w:r>
            <w:r>
              <w:rPr>
                <w:webHidden/>
              </w:rPr>
              <w:instrText xml:space="preserve"> PAGEREF _Toc188606077 \h </w:instrText>
            </w:r>
            <w:r>
              <w:rPr>
                <w:webHidden/>
              </w:rPr>
            </w:r>
            <w:r>
              <w:rPr>
                <w:webHidden/>
              </w:rPr>
              <w:fldChar w:fldCharType="separate"/>
            </w:r>
            <w:r>
              <w:rPr>
                <w:webHidden/>
              </w:rPr>
              <w:t>56</w:t>
            </w:r>
            <w:r>
              <w:rPr>
                <w:webHidden/>
              </w:rPr>
              <w:fldChar w:fldCharType="end"/>
            </w:r>
          </w:hyperlink>
        </w:p>
        <w:p w14:paraId="2D04710B" w14:textId="202D9B76"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8" w:history="1">
            <w:r w:rsidRPr="00AC33D7">
              <w:rPr>
                <w:rStyle w:val="Hyperlink"/>
                <w:rFonts w:cs="Arial"/>
                <w:noProof/>
              </w:rPr>
              <w:t>OMB Compliance Requirements</w:t>
            </w:r>
            <w:r>
              <w:rPr>
                <w:noProof/>
                <w:webHidden/>
              </w:rPr>
              <w:tab/>
            </w:r>
            <w:r>
              <w:rPr>
                <w:noProof/>
                <w:webHidden/>
              </w:rPr>
              <w:fldChar w:fldCharType="begin"/>
            </w:r>
            <w:r>
              <w:rPr>
                <w:noProof/>
                <w:webHidden/>
              </w:rPr>
              <w:instrText xml:space="preserve"> PAGEREF _Toc188606078 \h </w:instrText>
            </w:r>
            <w:r>
              <w:rPr>
                <w:noProof/>
                <w:webHidden/>
              </w:rPr>
            </w:r>
            <w:r>
              <w:rPr>
                <w:noProof/>
                <w:webHidden/>
              </w:rPr>
              <w:fldChar w:fldCharType="separate"/>
            </w:r>
            <w:r>
              <w:rPr>
                <w:noProof/>
                <w:webHidden/>
              </w:rPr>
              <w:t>56</w:t>
            </w:r>
            <w:r>
              <w:rPr>
                <w:noProof/>
                <w:webHidden/>
              </w:rPr>
              <w:fldChar w:fldCharType="end"/>
            </w:r>
          </w:hyperlink>
        </w:p>
        <w:p w14:paraId="1E7179E1" w14:textId="48F89586"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79"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_Toc188606079 \h </w:instrText>
            </w:r>
            <w:r>
              <w:rPr>
                <w:noProof/>
                <w:webHidden/>
              </w:rPr>
            </w:r>
            <w:r>
              <w:rPr>
                <w:noProof/>
                <w:webHidden/>
              </w:rPr>
              <w:fldChar w:fldCharType="separate"/>
            </w:r>
            <w:r>
              <w:rPr>
                <w:noProof/>
                <w:webHidden/>
              </w:rPr>
              <w:t>59</w:t>
            </w:r>
            <w:r>
              <w:rPr>
                <w:noProof/>
                <w:webHidden/>
              </w:rPr>
              <w:fldChar w:fldCharType="end"/>
            </w:r>
          </w:hyperlink>
        </w:p>
        <w:p w14:paraId="025D8023" w14:textId="2E2D5CFE"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0" w:history="1">
            <w:r w:rsidRPr="00AC33D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_Toc188606080 \h </w:instrText>
            </w:r>
            <w:r>
              <w:rPr>
                <w:noProof/>
                <w:webHidden/>
              </w:rPr>
            </w:r>
            <w:r>
              <w:rPr>
                <w:noProof/>
                <w:webHidden/>
              </w:rPr>
              <w:fldChar w:fldCharType="separate"/>
            </w:r>
            <w:r>
              <w:rPr>
                <w:noProof/>
                <w:webHidden/>
              </w:rPr>
              <w:t>59</w:t>
            </w:r>
            <w:r>
              <w:rPr>
                <w:noProof/>
                <w:webHidden/>
              </w:rPr>
              <w:fldChar w:fldCharType="end"/>
            </w:r>
          </w:hyperlink>
        </w:p>
        <w:p w14:paraId="5809788F" w14:textId="0E1ADC07"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1" w:history="1">
            <w:r w:rsidRPr="00AC33D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_Toc188606081 \h </w:instrText>
            </w:r>
            <w:r>
              <w:rPr>
                <w:noProof/>
                <w:webHidden/>
              </w:rPr>
            </w:r>
            <w:r>
              <w:rPr>
                <w:noProof/>
                <w:webHidden/>
              </w:rPr>
              <w:fldChar w:fldCharType="separate"/>
            </w:r>
            <w:r>
              <w:rPr>
                <w:noProof/>
                <w:webHidden/>
              </w:rPr>
              <w:t>60</w:t>
            </w:r>
            <w:r>
              <w:rPr>
                <w:noProof/>
                <w:webHidden/>
              </w:rPr>
              <w:fldChar w:fldCharType="end"/>
            </w:r>
          </w:hyperlink>
        </w:p>
        <w:p w14:paraId="7E62E87B" w14:textId="6AAAF7B4"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2"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_Toc188606082 \h </w:instrText>
            </w:r>
            <w:r>
              <w:rPr>
                <w:noProof/>
                <w:webHidden/>
              </w:rPr>
            </w:r>
            <w:r>
              <w:rPr>
                <w:noProof/>
                <w:webHidden/>
              </w:rPr>
              <w:fldChar w:fldCharType="separate"/>
            </w:r>
            <w:r>
              <w:rPr>
                <w:noProof/>
                <w:webHidden/>
              </w:rPr>
              <w:t>62</w:t>
            </w:r>
            <w:r>
              <w:rPr>
                <w:noProof/>
                <w:webHidden/>
              </w:rPr>
              <w:fldChar w:fldCharType="end"/>
            </w:r>
          </w:hyperlink>
        </w:p>
        <w:p w14:paraId="337DA20F" w14:textId="044DC4B1" w:rsidR="00B73684" w:rsidRDefault="00B73684">
          <w:pPr>
            <w:pStyle w:val="TOC2"/>
            <w:rPr>
              <w:rFonts w:asciiTheme="minorHAnsi" w:eastAsiaTheme="minorEastAsia" w:hAnsiTheme="minorHAnsi" w:cstheme="minorBidi"/>
              <w:bCs w:val="0"/>
              <w:kern w:val="2"/>
              <w:sz w:val="24"/>
              <w14:ligatures w14:val="standardContextual"/>
            </w:rPr>
          </w:pPr>
          <w:hyperlink w:anchor="_Toc188606083" w:history="1">
            <w:r w:rsidRPr="00AC33D7">
              <w:rPr>
                <w:rStyle w:val="Hyperlink"/>
              </w:rPr>
              <w:t>H.  PERIOD OF PERFORMANCE</w:t>
            </w:r>
            <w:r>
              <w:rPr>
                <w:webHidden/>
              </w:rPr>
              <w:tab/>
            </w:r>
            <w:r>
              <w:rPr>
                <w:webHidden/>
              </w:rPr>
              <w:fldChar w:fldCharType="begin"/>
            </w:r>
            <w:r>
              <w:rPr>
                <w:webHidden/>
              </w:rPr>
              <w:instrText xml:space="preserve"> PAGEREF _Toc188606083 \h </w:instrText>
            </w:r>
            <w:r>
              <w:rPr>
                <w:webHidden/>
              </w:rPr>
            </w:r>
            <w:r>
              <w:rPr>
                <w:webHidden/>
              </w:rPr>
              <w:fldChar w:fldCharType="separate"/>
            </w:r>
            <w:r>
              <w:rPr>
                <w:webHidden/>
              </w:rPr>
              <w:t>64</w:t>
            </w:r>
            <w:r>
              <w:rPr>
                <w:webHidden/>
              </w:rPr>
              <w:fldChar w:fldCharType="end"/>
            </w:r>
          </w:hyperlink>
        </w:p>
        <w:p w14:paraId="75BED829" w14:textId="0E96B27D"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4" w:history="1">
            <w:r w:rsidRPr="00AC33D7">
              <w:rPr>
                <w:rStyle w:val="Hyperlink"/>
                <w:rFonts w:cs="Arial"/>
                <w:noProof/>
              </w:rPr>
              <w:t>OMB Compliance Requirements</w:t>
            </w:r>
            <w:r>
              <w:rPr>
                <w:noProof/>
                <w:webHidden/>
              </w:rPr>
              <w:tab/>
            </w:r>
            <w:r>
              <w:rPr>
                <w:noProof/>
                <w:webHidden/>
              </w:rPr>
              <w:fldChar w:fldCharType="begin"/>
            </w:r>
            <w:r>
              <w:rPr>
                <w:noProof/>
                <w:webHidden/>
              </w:rPr>
              <w:instrText xml:space="preserve"> PAGEREF _Toc188606084 \h </w:instrText>
            </w:r>
            <w:r>
              <w:rPr>
                <w:noProof/>
                <w:webHidden/>
              </w:rPr>
            </w:r>
            <w:r>
              <w:rPr>
                <w:noProof/>
                <w:webHidden/>
              </w:rPr>
              <w:fldChar w:fldCharType="separate"/>
            </w:r>
            <w:r>
              <w:rPr>
                <w:noProof/>
                <w:webHidden/>
              </w:rPr>
              <w:t>64</w:t>
            </w:r>
            <w:r>
              <w:rPr>
                <w:noProof/>
                <w:webHidden/>
              </w:rPr>
              <w:fldChar w:fldCharType="end"/>
            </w:r>
          </w:hyperlink>
        </w:p>
        <w:p w14:paraId="35779E5F" w14:textId="6D8817F0"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5"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_Toc188606085 \h </w:instrText>
            </w:r>
            <w:r>
              <w:rPr>
                <w:noProof/>
                <w:webHidden/>
              </w:rPr>
            </w:r>
            <w:r>
              <w:rPr>
                <w:noProof/>
                <w:webHidden/>
              </w:rPr>
              <w:fldChar w:fldCharType="separate"/>
            </w:r>
            <w:r>
              <w:rPr>
                <w:noProof/>
                <w:webHidden/>
              </w:rPr>
              <w:t>64</w:t>
            </w:r>
            <w:r>
              <w:rPr>
                <w:noProof/>
                <w:webHidden/>
              </w:rPr>
              <w:fldChar w:fldCharType="end"/>
            </w:r>
          </w:hyperlink>
        </w:p>
        <w:p w14:paraId="4903778E" w14:textId="67D05559"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6" w:history="1">
            <w:r w:rsidRPr="00AC33D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_Toc188606086 \h </w:instrText>
            </w:r>
            <w:r>
              <w:rPr>
                <w:noProof/>
                <w:webHidden/>
              </w:rPr>
            </w:r>
            <w:r>
              <w:rPr>
                <w:noProof/>
                <w:webHidden/>
              </w:rPr>
              <w:fldChar w:fldCharType="separate"/>
            </w:r>
            <w:r>
              <w:rPr>
                <w:noProof/>
                <w:webHidden/>
              </w:rPr>
              <w:t>66</w:t>
            </w:r>
            <w:r>
              <w:rPr>
                <w:noProof/>
                <w:webHidden/>
              </w:rPr>
              <w:fldChar w:fldCharType="end"/>
            </w:r>
          </w:hyperlink>
        </w:p>
        <w:p w14:paraId="250E62A5" w14:textId="5A622BE0"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7" w:history="1">
            <w:r w:rsidRPr="00AC33D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_Toc188606087 \h </w:instrText>
            </w:r>
            <w:r>
              <w:rPr>
                <w:noProof/>
                <w:webHidden/>
              </w:rPr>
            </w:r>
            <w:r>
              <w:rPr>
                <w:noProof/>
                <w:webHidden/>
              </w:rPr>
              <w:fldChar w:fldCharType="separate"/>
            </w:r>
            <w:r>
              <w:rPr>
                <w:noProof/>
                <w:webHidden/>
              </w:rPr>
              <w:t>67</w:t>
            </w:r>
            <w:r>
              <w:rPr>
                <w:noProof/>
                <w:webHidden/>
              </w:rPr>
              <w:fldChar w:fldCharType="end"/>
            </w:r>
          </w:hyperlink>
        </w:p>
        <w:p w14:paraId="33EB2889" w14:textId="3CA73534"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88"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_Toc188606088 \h </w:instrText>
            </w:r>
            <w:r>
              <w:rPr>
                <w:noProof/>
                <w:webHidden/>
              </w:rPr>
            </w:r>
            <w:r>
              <w:rPr>
                <w:noProof/>
                <w:webHidden/>
              </w:rPr>
              <w:fldChar w:fldCharType="separate"/>
            </w:r>
            <w:r>
              <w:rPr>
                <w:noProof/>
                <w:webHidden/>
              </w:rPr>
              <w:t>67</w:t>
            </w:r>
            <w:r>
              <w:rPr>
                <w:noProof/>
                <w:webHidden/>
              </w:rPr>
              <w:fldChar w:fldCharType="end"/>
            </w:r>
          </w:hyperlink>
        </w:p>
        <w:p w14:paraId="5F7EEC61" w14:textId="6F353BD7" w:rsidR="00B73684" w:rsidRDefault="00B73684">
          <w:pPr>
            <w:pStyle w:val="TOC2"/>
            <w:rPr>
              <w:rFonts w:asciiTheme="minorHAnsi" w:eastAsiaTheme="minorEastAsia" w:hAnsiTheme="minorHAnsi" w:cstheme="minorBidi"/>
              <w:bCs w:val="0"/>
              <w:kern w:val="2"/>
              <w:sz w:val="24"/>
              <w14:ligatures w14:val="standardContextual"/>
            </w:rPr>
          </w:pPr>
          <w:hyperlink w:anchor="_Toc188606089" w:history="1">
            <w:r w:rsidRPr="00AC33D7">
              <w:rPr>
                <w:rStyle w:val="Hyperlink"/>
              </w:rPr>
              <w:t>I.  PROCUREMENT AND SUSPENSION AND DEBARMENT</w:t>
            </w:r>
            <w:r>
              <w:rPr>
                <w:webHidden/>
              </w:rPr>
              <w:tab/>
            </w:r>
            <w:r>
              <w:rPr>
                <w:webHidden/>
              </w:rPr>
              <w:fldChar w:fldCharType="begin"/>
            </w:r>
            <w:r>
              <w:rPr>
                <w:webHidden/>
              </w:rPr>
              <w:instrText xml:space="preserve"> PAGEREF _Toc188606089 \h </w:instrText>
            </w:r>
            <w:r>
              <w:rPr>
                <w:webHidden/>
              </w:rPr>
            </w:r>
            <w:r>
              <w:rPr>
                <w:webHidden/>
              </w:rPr>
              <w:fldChar w:fldCharType="separate"/>
            </w:r>
            <w:r>
              <w:rPr>
                <w:webHidden/>
              </w:rPr>
              <w:t>69</w:t>
            </w:r>
            <w:r>
              <w:rPr>
                <w:webHidden/>
              </w:rPr>
              <w:fldChar w:fldCharType="end"/>
            </w:r>
          </w:hyperlink>
        </w:p>
        <w:p w14:paraId="233F3290" w14:textId="186827CD"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0" w:history="1">
            <w:r w:rsidRPr="00AC33D7">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_Toc188606090 \h </w:instrText>
            </w:r>
            <w:r>
              <w:rPr>
                <w:noProof/>
                <w:webHidden/>
              </w:rPr>
            </w:r>
            <w:r>
              <w:rPr>
                <w:noProof/>
                <w:webHidden/>
              </w:rPr>
              <w:fldChar w:fldCharType="separate"/>
            </w:r>
            <w:r>
              <w:rPr>
                <w:noProof/>
                <w:webHidden/>
              </w:rPr>
              <w:t>69</w:t>
            </w:r>
            <w:r>
              <w:rPr>
                <w:noProof/>
                <w:webHidden/>
              </w:rPr>
              <w:fldChar w:fldCharType="end"/>
            </w:r>
          </w:hyperlink>
        </w:p>
        <w:p w14:paraId="4A837250" w14:textId="13AF9B86"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1" w:history="1">
            <w:r w:rsidRPr="00AC33D7">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_Toc188606091 \h </w:instrText>
            </w:r>
            <w:r>
              <w:rPr>
                <w:noProof/>
                <w:webHidden/>
              </w:rPr>
            </w:r>
            <w:r>
              <w:rPr>
                <w:noProof/>
                <w:webHidden/>
              </w:rPr>
              <w:fldChar w:fldCharType="separate"/>
            </w:r>
            <w:r>
              <w:rPr>
                <w:noProof/>
                <w:webHidden/>
              </w:rPr>
              <w:t>71</w:t>
            </w:r>
            <w:r>
              <w:rPr>
                <w:noProof/>
                <w:webHidden/>
              </w:rPr>
              <w:fldChar w:fldCharType="end"/>
            </w:r>
          </w:hyperlink>
        </w:p>
        <w:p w14:paraId="2FC54327" w14:textId="4ABB4473"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2" w:history="1">
            <w:r w:rsidRPr="00AC33D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_Toc188606092 \h </w:instrText>
            </w:r>
            <w:r>
              <w:rPr>
                <w:noProof/>
                <w:webHidden/>
              </w:rPr>
            </w:r>
            <w:r>
              <w:rPr>
                <w:noProof/>
                <w:webHidden/>
              </w:rPr>
              <w:fldChar w:fldCharType="separate"/>
            </w:r>
            <w:r>
              <w:rPr>
                <w:noProof/>
                <w:webHidden/>
              </w:rPr>
              <w:t>72</w:t>
            </w:r>
            <w:r>
              <w:rPr>
                <w:noProof/>
                <w:webHidden/>
              </w:rPr>
              <w:fldChar w:fldCharType="end"/>
            </w:r>
          </w:hyperlink>
        </w:p>
        <w:p w14:paraId="3DADEBB6" w14:textId="2E6330C0"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3" w:history="1">
            <w:r w:rsidRPr="00AC33D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_Toc188606093 \h </w:instrText>
            </w:r>
            <w:r>
              <w:rPr>
                <w:noProof/>
                <w:webHidden/>
              </w:rPr>
            </w:r>
            <w:r>
              <w:rPr>
                <w:noProof/>
                <w:webHidden/>
              </w:rPr>
              <w:fldChar w:fldCharType="separate"/>
            </w:r>
            <w:r>
              <w:rPr>
                <w:noProof/>
                <w:webHidden/>
              </w:rPr>
              <w:t>75</w:t>
            </w:r>
            <w:r>
              <w:rPr>
                <w:noProof/>
                <w:webHidden/>
              </w:rPr>
              <w:fldChar w:fldCharType="end"/>
            </w:r>
          </w:hyperlink>
        </w:p>
        <w:p w14:paraId="543875F7" w14:textId="1BB30C72"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4" w:history="1">
            <w:r w:rsidRPr="00AC33D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_Toc188606094 \h </w:instrText>
            </w:r>
            <w:r>
              <w:rPr>
                <w:noProof/>
                <w:webHidden/>
              </w:rPr>
            </w:r>
            <w:r>
              <w:rPr>
                <w:noProof/>
                <w:webHidden/>
              </w:rPr>
              <w:fldChar w:fldCharType="separate"/>
            </w:r>
            <w:r>
              <w:rPr>
                <w:noProof/>
                <w:webHidden/>
              </w:rPr>
              <w:t>76</w:t>
            </w:r>
            <w:r>
              <w:rPr>
                <w:noProof/>
                <w:webHidden/>
              </w:rPr>
              <w:fldChar w:fldCharType="end"/>
            </w:r>
          </w:hyperlink>
        </w:p>
        <w:p w14:paraId="15125E33" w14:textId="4AE02DEE" w:rsidR="00B73684" w:rsidRDefault="00B73684">
          <w:pPr>
            <w:pStyle w:val="TOC3"/>
            <w:rPr>
              <w:rFonts w:asciiTheme="minorHAnsi" w:eastAsiaTheme="minorEastAsia" w:hAnsiTheme="minorHAnsi" w:cstheme="minorBidi"/>
              <w:b w:val="0"/>
              <w:noProof/>
              <w:kern w:val="2"/>
              <w:sz w:val="24"/>
              <w:szCs w:val="24"/>
              <w14:ligatures w14:val="standardContextual"/>
            </w:rPr>
          </w:pPr>
          <w:hyperlink w:anchor="_Toc188606095" w:history="1">
            <w:r w:rsidRPr="00AC33D7">
              <w:rPr>
                <w:rStyle w:val="Hyperlink"/>
                <w:rFonts w:cs="Arial"/>
                <w:noProof/>
              </w:rPr>
              <w:t>Audit Implications Summary</w:t>
            </w:r>
            <w:r>
              <w:rPr>
                <w:noProof/>
                <w:webHidden/>
              </w:rPr>
              <w:tab/>
            </w:r>
            <w:r>
              <w:rPr>
                <w:noProof/>
                <w:webHidden/>
              </w:rPr>
              <w:fldChar w:fldCharType="begin"/>
            </w:r>
            <w:r>
              <w:rPr>
                <w:noProof/>
                <w:webHidden/>
              </w:rPr>
              <w:instrText xml:space="preserve"> PAGEREF _Toc188606095 \h </w:instrText>
            </w:r>
            <w:r>
              <w:rPr>
                <w:noProof/>
                <w:webHidden/>
              </w:rPr>
            </w:r>
            <w:r>
              <w:rPr>
                <w:noProof/>
                <w:webHidden/>
              </w:rPr>
              <w:fldChar w:fldCharType="separate"/>
            </w:r>
            <w:r>
              <w:rPr>
                <w:noProof/>
                <w:webHidden/>
              </w:rPr>
              <w:t>78</w:t>
            </w:r>
            <w:r>
              <w:rPr>
                <w:noProof/>
                <w:webHidden/>
              </w:rPr>
              <w:fldChar w:fldCharType="end"/>
            </w:r>
          </w:hyperlink>
        </w:p>
        <w:p w14:paraId="7CB4795B" w14:textId="2E1E2873" w:rsidR="00B73684" w:rsidRDefault="00B73684">
          <w:pPr>
            <w:pStyle w:val="TOC2"/>
            <w:rPr>
              <w:rFonts w:asciiTheme="minorHAnsi" w:eastAsiaTheme="minorEastAsia" w:hAnsiTheme="minorHAnsi" w:cstheme="minorBidi"/>
              <w:bCs w:val="0"/>
              <w:kern w:val="2"/>
              <w:sz w:val="24"/>
              <w14:ligatures w14:val="standardContextual"/>
            </w:rPr>
          </w:pPr>
          <w:hyperlink w:anchor="_Toc188606096" w:history="1">
            <w:r w:rsidRPr="00AC33D7">
              <w:rPr>
                <w:rStyle w:val="Hyperlink"/>
              </w:rPr>
              <w:t>Program Testing Conclusion</w:t>
            </w:r>
            <w:r>
              <w:rPr>
                <w:webHidden/>
              </w:rPr>
              <w:tab/>
            </w:r>
            <w:r>
              <w:rPr>
                <w:webHidden/>
              </w:rPr>
              <w:fldChar w:fldCharType="begin"/>
            </w:r>
            <w:r>
              <w:rPr>
                <w:webHidden/>
              </w:rPr>
              <w:instrText xml:space="preserve"> PAGEREF _Toc188606096 \h </w:instrText>
            </w:r>
            <w:r>
              <w:rPr>
                <w:webHidden/>
              </w:rPr>
            </w:r>
            <w:r>
              <w:rPr>
                <w:webHidden/>
              </w:rPr>
              <w:fldChar w:fldCharType="separate"/>
            </w:r>
            <w:r>
              <w:rPr>
                <w:webHidden/>
              </w:rPr>
              <w:t>80</w:t>
            </w:r>
            <w:r>
              <w:rPr>
                <w:webHidden/>
              </w:rPr>
              <w:fldChar w:fldCharType="end"/>
            </w:r>
          </w:hyperlink>
        </w:p>
        <w:p w14:paraId="03C2BB18" w14:textId="4CA31477"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8606048"/>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44595AB1" w:rsidR="00A3491E" w:rsidRPr="00F00D94" w:rsidRDefault="00E97CF0"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586BE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08312D44" w:rsidR="00A3491E" w:rsidRPr="00F00D94" w:rsidRDefault="00E97CF0"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5F993B10" w:rsidR="007C67FD" w:rsidRPr="00F00D94" w:rsidRDefault="00E97C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4764486C" w:rsidR="007C67FD" w:rsidRPr="00F00D94" w:rsidRDefault="00E97C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E090440"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3605980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0FA708B0" w:rsidR="007C67FD" w:rsidRPr="00F00D94" w:rsidRDefault="007C67FD" w:rsidP="007C67FD">
            <w:pPr>
              <w:jc w:val="center"/>
              <w:rPr>
                <w:rFonts w:ascii="Arial" w:hAnsi="Arial" w:cs="Arial"/>
                <w:i/>
                <w:iCs/>
              </w:rPr>
            </w:pPr>
          </w:p>
        </w:tc>
      </w:tr>
      <w:tr w:rsidR="007C67FD" w:rsidRPr="00F00D94" w14:paraId="43A8818F"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1B5B11E"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1604F2E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56E631EC"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BD2B3B3" w:rsidR="007C67FD" w:rsidRPr="00F00D94" w:rsidRDefault="00E97C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1D75CA18" w:rsidR="007C67FD" w:rsidRPr="00F00D94" w:rsidRDefault="00E97C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50C45884"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58160D9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61133D8E" w:rsidR="007C67FD" w:rsidRPr="00F00D94" w:rsidRDefault="007C67FD" w:rsidP="007C67FD">
            <w:pPr>
              <w:jc w:val="center"/>
              <w:rPr>
                <w:rFonts w:ascii="Arial" w:hAnsi="Arial" w:cs="Arial"/>
                <w:i/>
                <w:iCs/>
              </w:rPr>
            </w:pPr>
          </w:p>
        </w:tc>
      </w:tr>
      <w:tr w:rsidR="007C67FD" w:rsidRPr="00F00D94" w14:paraId="24D13553"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34DFB5C6"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3A2D4E2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771CC2CD" w:rsidR="007C67FD" w:rsidRPr="00F00D94" w:rsidRDefault="007C67FD" w:rsidP="007C67FD">
            <w:pPr>
              <w:jc w:val="center"/>
              <w:rPr>
                <w:rFonts w:ascii="Arial" w:hAnsi="Arial" w:cs="Arial"/>
                <w:i/>
                <w:iCs/>
              </w:rPr>
            </w:pPr>
          </w:p>
        </w:tc>
      </w:tr>
      <w:tr w:rsidR="007C67FD" w:rsidRPr="00F00D94" w14:paraId="572CF103" w14:textId="77777777" w:rsidTr="00E97C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6B67F5F0"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256A23F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73F381F0" w:rsidR="007C67FD" w:rsidRPr="00F00D94" w:rsidRDefault="007C67FD" w:rsidP="007C67FD">
            <w:pPr>
              <w:jc w:val="center"/>
              <w:rPr>
                <w:rFonts w:ascii="Arial" w:hAnsi="Arial" w:cs="Arial"/>
                <w:i/>
                <w:iCs/>
              </w:rPr>
            </w:pPr>
          </w:p>
        </w:tc>
      </w:tr>
      <w:tr w:rsidR="007C67FD" w:rsidRPr="00F00D94" w14:paraId="6B68C39A" w14:textId="77777777" w:rsidTr="00E97CF0">
        <w:trPr>
          <w:trHeight w:val="278"/>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3AB8748F"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6604CF59" w:rsidR="007C67FD" w:rsidRPr="00F00D94" w:rsidRDefault="00E97C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515C5CA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5F5B502D"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1C9A087E"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C96EF3">
      <w:pPr>
        <w:pStyle w:val="ListParagraph"/>
        <w:numPr>
          <w:ilvl w:val="0"/>
          <w:numId w:val="35"/>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C96EF3">
      <w:pPr>
        <w:pStyle w:val="ListParagraph"/>
        <w:numPr>
          <w:ilvl w:val="0"/>
          <w:numId w:val="35"/>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96EF3">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96EF3">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96EF3">
      <w:pPr>
        <w:pStyle w:val="BodyText"/>
        <w:numPr>
          <w:ilvl w:val="0"/>
          <w:numId w:val="36"/>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96EF3">
      <w:pPr>
        <w:pStyle w:val="BodyText"/>
        <w:numPr>
          <w:ilvl w:val="0"/>
          <w:numId w:val="36"/>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659AF3B3"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C96EF3">
      <w:pPr>
        <w:pStyle w:val="ListParagraph"/>
        <w:widowControl w:val="0"/>
        <w:numPr>
          <w:ilvl w:val="0"/>
          <w:numId w:val="28"/>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C96EF3">
      <w:pPr>
        <w:pStyle w:val="ListParagraph"/>
        <w:widowControl w:val="0"/>
        <w:numPr>
          <w:ilvl w:val="0"/>
          <w:numId w:val="28"/>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8606049"/>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8606050"/>
      <w:r w:rsidRPr="00A0464C">
        <w:rPr>
          <w:rFonts w:cs="Arial"/>
          <w:sz w:val="24"/>
          <w:szCs w:val="24"/>
        </w:rPr>
        <w:t>I. Program Objectives</w:t>
      </w:r>
      <w:bookmarkEnd w:id="17"/>
    </w:p>
    <w:p w14:paraId="0BF43176" w14:textId="411F4DB0" w:rsidR="00420387" w:rsidRPr="00420387" w:rsidRDefault="00420387" w:rsidP="00420387">
      <w:pPr>
        <w:spacing w:after="240"/>
        <w:jc w:val="both"/>
        <w:rPr>
          <w:rFonts w:ascii="Arial" w:hAnsi="Arial" w:cs="Arial"/>
          <w:bCs/>
        </w:rPr>
      </w:pPr>
      <w:r w:rsidRPr="00420387">
        <w:rPr>
          <w:rFonts w:ascii="Arial" w:hAnsi="Arial" w:cs="Arial"/>
          <w:bCs/>
        </w:rPr>
        <w:t>The objective of the Special Supplemental Nutrition Program for Women, Infants, and Children (WIC) is to provide to provide low-income pregnant, breastfeeding, and postpartum women, infants, and children to age 5 who have been determined to be at nutritional risk, supplemental nutritious foods, nutrition education, and referrals to health and social services at no cost. WIC also promotes and supports breastfeeding as the feeding method of choice for infants, provides substance abuse education, and promotes immunization and other aspects of healthy living.</w:t>
      </w:r>
    </w:p>
    <w:p w14:paraId="47FBF2E8" w14:textId="321A4539" w:rsidR="009656BB" w:rsidRPr="00F00D94" w:rsidRDefault="00420387" w:rsidP="00420387">
      <w:pPr>
        <w:spacing w:after="240"/>
        <w:jc w:val="both"/>
        <w:rPr>
          <w:rFonts w:ascii="Arial" w:hAnsi="Arial" w:cs="Arial"/>
          <w:bCs/>
        </w:rPr>
      </w:pPr>
      <w:r w:rsidRPr="00420387">
        <w:rPr>
          <w:rFonts w:ascii="Arial" w:hAnsi="Arial" w:cs="Arial"/>
          <w:bCs/>
        </w:rPr>
        <w:t>The USDA’s Food and Nutrition Service (FNS) makes funds available to participating state agencies (usually health departments). State agencies distribute the funds to participating local agencies, which operate WIC clinics. State and local agencies use WIC funds to pay the costs of specified supplemental foods provided to WIC participants, and to pay for specified Nutrition Services and Administration (NSA) costs, including the cost of nutrition assessments, blood tests for anemia, nutrition education, breastfeeding promotion and support, and health care referrals.</w:t>
      </w:r>
    </w:p>
    <w:p w14:paraId="27A28DF7" w14:textId="0D0C8B90" w:rsidR="009656BB" w:rsidRPr="00F00D94" w:rsidRDefault="00420387" w:rsidP="00420387">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222D14D9" w14:textId="77777777" w:rsidR="009656BB" w:rsidRPr="00A0464C" w:rsidRDefault="009656BB" w:rsidP="006672EA">
      <w:pPr>
        <w:pStyle w:val="Heading3"/>
        <w:jc w:val="both"/>
        <w:rPr>
          <w:rFonts w:cs="Arial"/>
          <w:sz w:val="24"/>
          <w:szCs w:val="24"/>
        </w:rPr>
      </w:pPr>
      <w:bookmarkStart w:id="18" w:name="_Toc188606051"/>
      <w:r w:rsidRPr="00A0464C">
        <w:rPr>
          <w:rFonts w:cs="Arial"/>
          <w:sz w:val="24"/>
          <w:szCs w:val="24"/>
        </w:rPr>
        <w:t>II. Program Procedures</w:t>
      </w:r>
      <w:bookmarkEnd w:id="18"/>
    </w:p>
    <w:p w14:paraId="03DB0986" w14:textId="09B1FFCB" w:rsidR="00420387" w:rsidRPr="008A7514" w:rsidRDefault="00420387" w:rsidP="00420387">
      <w:pPr>
        <w:spacing w:after="240"/>
        <w:jc w:val="both"/>
        <w:rPr>
          <w:rFonts w:ascii="Arial" w:hAnsi="Arial" w:cs="Arial"/>
          <w:b/>
        </w:rPr>
      </w:pPr>
      <w:r w:rsidRPr="008A7514">
        <w:rPr>
          <w:rFonts w:ascii="Arial" w:hAnsi="Arial" w:cs="Arial"/>
          <w:b/>
        </w:rPr>
        <w:t>A.</w:t>
      </w:r>
      <w:r w:rsidRPr="008A7514">
        <w:rPr>
          <w:rFonts w:ascii="Arial" w:hAnsi="Arial" w:cs="Arial"/>
          <w:b/>
        </w:rPr>
        <w:tab/>
        <w:t>Administration</w:t>
      </w:r>
    </w:p>
    <w:p w14:paraId="484A5DB1" w14:textId="355B9C33" w:rsidR="00420387" w:rsidRPr="00420387" w:rsidRDefault="00420387" w:rsidP="008A7514">
      <w:pPr>
        <w:spacing w:after="240"/>
        <w:ind w:left="720"/>
        <w:jc w:val="both"/>
        <w:rPr>
          <w:rFonts w:ascii="Arial" w:hAnsi="Arial" w:cs="Arial"/>
          <w:bCs/>
        </w:rPr>
      </w:pPr>
      <w:r w:rsidRPr="00420387">
        <w:rPr>
          <w:rFonts w:ascii="Arial" w:hAnsi="Arial" w:cs="Arial"/>
          <w:bCs/>
        </w:rPr>
        <w:t>The USDA’s FNS administers the WIC program through grants awarded to state health departments or comparable state agencies, Indian tribal organizations, bands or intertribal councils, or groups recognized by the Bureau of Indian Affairs, US Department of the Interior, or the Indian Health Service (IHS) of the US Department of Health and Human Services (HHS) (“ITOs”). A state agency administering the WIC program must sign a federal/state agreement that commits it to observe applicable laws and regulations in carrying out the program. The state agencies, in turn, award subgrants to local agencies to certify applicants’ eligibility for WIC program benefits and deliver such benefits to eligible persons.</w:t>
      </w:r>
    </w:p>
    <w:p w14:paraId="5F219F6D" w14:textId="259CF061" w:rsidR="00420387" w:rsidRPr="008A7514" w:rsidRDefault="00420387" w:rsidP="00420387">
      <w:pPr>
        <w:spacing w:after="240"/>
        <w:jc w:val="both"/>
        <w:rPr>
          <w:rFonts w:ascii="Arial" w:hAnsi="Arial" w:cs="Arial"/>
          <w:b/>
        </w:rPr>
      </w:pPr>
      <w:r w:rsidRPr="008A7514">
        <w:rPr>
          <w:rFonts w:ascii="Arial" w:hAnsi="Arial" w:cs="Arial"/>
          <w:b/>
        </w:rPr>
        <w:t>B.</w:t>
      </w:r>
      <w:r w:rsidRPr="008A7514">
        <w:rPr>
          <w:rFonts w:ascii="Arial" w:hAnsi="Arial" w:cs="Arial"/>
          <w:b/>
        </w:rPr>
        <w:tab/>
        <w:t>Program Funding</w:t>
      </w:r>
    </w:p>
    <w:p w14:paraId="7123C5B5" w14:textId="3F09C1BF" w:rsidR="00420387" w:rsidRPr="00420387" w:rsidRDefault="00420387" w:rsidP="008A7514">
      <w:pPr>
        <w:spacing w:after="240"/>
        <w:ind w:left="720"/>
        <w:jc w:val="both"/>
        <w:rPr>
          <w:rFonts w:ascii="Arial" w:hAnsi="Arial" w:cs="Arial"/>
          <w:bCs/>
        </w:rPr>
      </w:pPr>
      <w:r w:rsidRPr="00420387">
        <w:rPr>
          <w:rFonts w:ascii="Arial" w:hAnsi="Arial" w:cs="Arial"/>
          <w:bCs/>
        </w:rPr>
        <w:t>The WIC program is a grant program that is 100 percent federally funded. No state matching requirement exists. Funds are awarded by FNS on the basis of funding formulas prescribed in the WIC program regulations.</w:t>
      </w:r>
    </w:p>
    <w:p w14:paraId="368593B0" w14:textId="14143DC2" w:rsidR="001A2761" w:rsidRPr="00F00D94" w:rsidRDefault="00420387" w:rsidP="008A7514">
      <w:pPr>
        <w:spacing w:after="240"/>
        <w:ind w:left="720"/>
        <w:jc w:val="both"/>
        <w:rPr>
          <w:rFonts w:ascii="Arial" w:hAnsi="Arial" w:cs="Arial"/>
          <w:bCs/>
        </w:rPr>
      </w:pPr>
      <w:r w:rsidRPr="00420387">
        <w:rPr>
          <w:rFonts w:ascii="Arial" w:hAnsi="Arial" w:cs="Arial"/>
          <w:bCs/>
        </w:rPr>
        <w:t>FNS allocates federally appropriated funds to WIC state agencies as grants, which are divided into two parts: a component for food costs and a component for NSA costs.</w:t>
      </w:r>
      <w:r>
        <w:rPr>
          <w:rFonts w:ascii="Arial" w:hAnsi="Arial" w:cs="Arial"/>
          <w:bCs/>
        </w:rPr>
        <w:t xml:space="preserve"> </w:t>
      </w:r>
      <w:r w:rsidRPr="00420387">
        <w:rPr>
          <w:rFonts w:ascii="Arial" w:hAnsi="Arial" w:cs="Arial"/>
          <w:bCs/>
        </w:rPr>
        <w:t>Resources made available to a state agency under these two components of its initial federal WIC formula grant may be modified by the cumulative effect of the following requirements:</w:t>
      </w:r>
    </w:p>
    <w:p w14:paraId="773E57EE" w14:textId="3B3E29C4" w:rsidR="008A7514" w:rsidRPr="008A7514" w:rsidRDefault="008A7514" w:rsidP="008A7514">
      <w:pPr>
        <w:spacing w:after="240"/>
        <w:ind w:left="720"/>
        <w:jc w:val="both"/>
        <w:rPr>
          <w:rFonts w:ascii="Arial" w:hAnsi="Arial" w:cs="Arial"/>
          <w:bCs/>
          <w:i/>
          <w:iCs/>
        </w:rPr>
      </w:pPr>
      <w:r w:rsidRPr="008A7514">
        <w:rPr>
          <w:rFonts w:ascii="Arial" w:hAnsi="Arial" w:cs="Arial"/>
          <w:bCs/>
          <w:i/>
          <w:iCs/>
        </w:rPr>
        <w:t>1.</w:t>
      </w:r>
      <w:r w:rsidRPr="008A7514">
        <w:rPr>
          <w:rFonts w:ascii="Arial" w:hAnsi="Arial" w:cs="Arial"/>
          <w:bCs/>
          <w:i/>
          <w:iCs/>
        </w:rPr>
        <w:tab/>
        <w:t>Reallocations and Recoveries</w:t>
      </w:r>
    </w:p>
    <w:p w14:paraId="40356ADC" w14:textId="52AFC698" w:rsidR="008A7514" w:rsidRPr="008A7514" w:rsidRDefault="008A7514" w:rsidP="008A7514">
      <w:pPr>
        <w:spacing w:after="240"/>
        <w:ind w:left="1440"/>
        <w:jc w:val="both"/>
        <w:rPr>
          <w:rFonts w:ascii="Arial" w:hAnsi="Arial" w:cs="Arial"/>
          <w:bCs/>
        </w:rPr>
      </w:pPr>
      <w:r w:rsidRPr="008A7514">
        <w:rPr>
          <w:rFonts w:ascii="Arial" w:hAnsi="Arial" w:cs="Arial"/>
          <w:bCs/>
        </w:rPr>
        <w:t>The WIC Program’s authorizing statute and regulations require FNS to recover unspent funds and reallocate them to state agencies.</w:t>
      </w:r>
    </w:p>
    <w:p w14:paraId="3474EF21" w14:textId="3A1DE6D5" w:rsidR="008A7514" w:rsidRPr="008A7514" w:rsidRDefault="008A7514" w:rsidP="008A7514">
      <w:pPr>
        <w:spacing w:after="240"/>
        <w:ind w:left="720"/>
        <w:jc w:val="both"/>
        <w:rPr>
          <w:rFonts w:ascii="Arial" w:hAnsi="Arial" w:cs="Arial"/>
          <w:bCs/>
          <w:i/>
          <w:iCs/>
        </w:rPr>
      </w:pPr>
      <w:r w:rsidRPr="008A7514">
        <w:rPr>
          <w:rFonts w:ascii="Arial" w:hAnsi="Arial" w:cs="Arial"/>
          <w:bCs/>
          <w:i/>
          <w:iCs/>
        </w:rPr>
        <w:t>2.</w:t>
      </w:r>
      <w:r w:rsidRPr="008A7514">
        <w:rPr>
          <w:rFonts w:ascii="Arial" w:hAnsi="Arial" w:cs="Arial"/>
          <w:bCs/>
          <w:i/>
          <w:iCs/>
        </w:rPr>
        <w:tab/>
        <w:t>Conversion Authority</w:t>
      </w:r>
      <w:r w:rsidR="00F513EA">
        <w:rPr>
          <w:rFonts w:ascii="Arial" w:hAnsi="Arial" w:cs="Arial"/>
          <w:bCs/>
          <w:i/>
          <w:iCs/>
        </w:rPr>
        <w:t xml:space="preserve"> </w:t>
      </w:r>
    </w:p>
    <w:p w14:paraId="67A977F9" w14:textId="5ED221AD" w:rsidR="008A7514" w:rsidRPr="008A7514" w:rsidRDefault="008A7514" w:rsidP="008A7514">
      <w:pPr>
        <w:spacing w:after="240"/>
        <w:ind w:left="1440"/>
        <w:jc w:val="both"/>
        <w:rPr>
          <w:rFonts w:ascii="Arial" w:hAnsi="Arial" w:cs="Arial"/>
          <w:bCs/>
        </w:rPr>
      </w:pPr>
      <w:r w:rsidRPr="008A7514">
        <w:rPr>
          <w:rFonts w:ascii="Arial" w:hAnsi="Arial" w:cs="Arial"/>
          <w:bCs/>
        </w:rPr>
        <w:t xml:space="preserve">A state agency that submits a plan to increase WIC participation under a cost containment strategy, as outlined under the “Cost Containment Requirements” section below, in excess of the increases projected by FNS in the NSA funds allocation formula, may shift a portion of its food grant component to its NSA component. This “conversion authority” is a function </w:t>
      </w:r>
      <w:r w:rsidRPr="008A7514">
        <w:rPr>
          <w:rFonts w:ascii="Arial" w:hAnsi="Arial" w:cs="Arial"/>
          <w:bCs/>
        </w:rPr>
        <w:lastRenderedPageBreak/>
        <w:t>of the “excess” participation increase and is determined by FNS (see III.A.2, “Activities Allowed or Unallowed – Exceptions”).</w:t>
      </w:r>
    </w:p>
    <w:p w14:paraId="3C39DAF5" w14:textId="6C9F31B3" w:rsidR="008A7514" w:rsidRPr="008A7514" w:rsidRDefault="008A7514" w:rsidP="008A7514">
      <w:pPr>
        <w:spacing w:after="240"/>
        <w:ind w:left="720"/>
        <w:jc w:val="both"/>
        <w:rPr>
          <w:rFonts w:ascii="Arial" w:hAnsi="Arial" w:cs="Arial"/>
          <w:bCs/>
          <w:i/>
          <w:iCs/>
        </w:rPr>
      </w:pPr>
      <w:r w:rsidRPr="008A7514">
        <w:rPr>
          <w:rFonts w:ascii="Arial" w:hAnsi="Arial" w:cs="Arial"/>
          <w:bCs/>
          <w:i/>
          <w:iCs/>
        </w:rPr>
        <w:t>3.</w:t>
      </w:r>
      <w:r w:rsidRPr="008A7514">
        <w:rPr>
          <w:rFonts w:ascii="Arial" w:hAnsi="Arial" w:cs="Arial"/>
          <w:bCs/>
          <w:i/>
          <w:iCs/>
        </w:rPr>
        <w:tab/>
        <w:t>Spending Options</w:t>
      </w:r>
    </w:p>
    <w:p w14:paraId="7CF269E1" w14:textId="6310C648" w:rsidR="008A7514" w:rsidRPr="008A7514" w:rsidRDefault="008A7514" w:rsidP="008A7514">
      <w:pPr>
        <w:spacing w:after="240"/>
        <w:ind w:left="1440"/>
        <w:jc w:val="both"/>
        <w:rPr>
          <w:rFonts w:ascii="Arial" w:hAnsi="Arial" w:cs="Arial"/>
          <w:bCs/>
        </w:rPr>
      </w:pPr>
      <w:r w:rsidRPr="008A7514">
        <w:rPr>
          <w:rFonts w:ascii="Arial" w:hAnsi="Arial" w:cs="Arial"/>
          <w:bCs/>
        </w:rPr>
        <w:t>Federal legislation and regulations authorize a state agency to shift a portion of its federal WIC formula grant between grant periods (federal fiscal years) (see III.H, “Period of Performance”).</w:t>
      </w:r>
    </w:p>
    <w:p w14:paraId="51DF6A4C" w14:textId="6E2919A7" w:rsidR="008A7514" w:rsidRPr="00F513EA" w:rsidRDefault="008A7514" w:rsidP="008A7514">
      <w:pPr>
        <w:spacing w:after="240"/>
        <w:ind w:left="720"/>
        <w:jc w:val="both"/>
        <w:rPr>
          <w:rFonts w:ascii="Arial" w:hAnsi="Arial" w:cs="Arial"/>
          <w:bCs/>
          <w:i/>
          <w:iCs/>
          <w:color w:val="002060"/>
        </w:rPr>
      </w:pPr>
      <w:r w:rsidRPr="008A7514">
        <w:rPr>
          <w:rFonts w:ascii="Arial" w:hAnsi="Arial" w:cs="Arial"/>
          <w:bCs/>
          <w:i/>
          <w:iCs/>
        </w:rPr>
        <w:t>4.</w:t>
      </w:r>
      <w:r w:rsidRPr="008A7514">
        <w:rPr>
          <w:rFonts w:ascii="Arial" w:hAnsi="Arial" w:cs="Arial"/>
          <w:bCs/>
          <w:i/>
          <w:iCs/>
        </w:rPr>
        <w:tab/>
        <w:t>Rebates</w:t>
      </w:r>
      <w:r w:rsidR="00F513EA">
        <w:rPr>
          <w:rFonts w:ascii="Arial" w:hAnsi="Arial" w:cs="Arial"/>
          <w:bCs/>
          <w:i/>
          <w:iCs/>
        </w:rPr>
        <w:t xml:space="preserve"> </w:t>
      </w:r>
    </w:p>
    <w:p w14:paraId="5F49C68C" w14:textId="7A37FC07" w:rsidR="008A7514" w:rsidRPr="008A7514" w:rsidRDefault="008A7514" w:rsidP="008A7514">
      <w:pPr>
        <w:spacing w:after="240"/>
        <w:ind w:left="1440"/>
        <w:jc w:val="both"/>
        <w:rPr>
          <w:rFonts w:ascii="Arial" w:hAnsi="Arial" w:cs="Arial"/>
          <w:bCs/>
        </w:rPr>
      </w:pPr>
      <w:r w:rsidRPr="008A7514">
        <w:rPr>
          <w:rFonts w:ascii="Arial" w:hAnsi="Arial" w:cs="Arial"/>
          <w:bCs/>
        </w:rPr>
        <w:t>A state agency may contract with a food manufacturer to receive a rebate on each unit of the manufacturer’s product purchased with food instruments (FIs) redeemed by program participants. Such rebates are credits for food costs that are reported in the month in which the rebate was received.</w:t>
      </w:r>
    </w:p>
    <w:p w14:paraId="7F12698B" w14:textId="192986E2" w:rsidR="008A7514" w:rsidRPr="008A7514" w:rsidRDefault="008A7514" w:rsidP="008A7514">
      <w:pPr>
        <w:spacing w:after="240"/>
        <w:ind w:left="720"/>
        <w:jc w:val="both"/>
        <w:rPr>
          <w:rFonts w:ascii="Arial" w:hAnsi="Arial" w:cs="Arial"/>
          <w:bCs/>
          <w:i/>
          <w:iCs/>
        </w:rPr>
      </w:pPr>
      <w:r w:rsidRPr="008A7514">
        <w:rPr>
          <w:rFonts w:ascii="Arial" w:hAnsi="Arial" w:cs="Arial"/>
          <w:bCs/>
          <w:i/>
          <w:iCs/>
        </w:rPr>
        <w:t>5.</w:t>
      </w:r>
      <w:r w:rsidRPr="008A7514">
        <w:rPr>
          <w:rFonts w:ascii="Arial" w:hAnsi="Arial" w:cs="Arial"/>
          <w:bCs/>
          <w:i/>
          <w:iCs/>
        </w:rPr>
        <w:tab/>
        <w:t>Vendor, Participant, and Local Agency Collections</w:t>
      </w:r>
      <w:r w:rsidR="00F513EA">
        <w:rPr>
          <w:rFonts w:ascii="Arial" w:hAnsi="Arial" w:cs="Arial"/>
          <w:bCs/>
          <w:i/>
          <w:iCs/>
        </w:rPr>
        <w:t xml:space="preserve"> </w:t>
      </w:r>
    </w:p>
    <w:p w14:paraId="2DE650BE" w14:textId="5DD781FA" w:rsidR="008A7514" w:rsidRPr="008A7514" w:rsidRDefault="008A7514" w:rsidP="008A7514">
      <w:pPr>
        <w:spacing w:after="240"/>
        <w:ind w:left="1440"/>
        <w:jc w:val="both"/>
        <w:rPr>
          <w:rFonts w:ascii="Arial" w:hAnsi="Arial" w:cs="Arial"/>
          <w:bCs/>
        </w:rPr>
      </w:pPr>
      <w:r w:rsidRPr="008A7514">
        <w:rPr>
          <w:rFonts w:ascii="Arial" w:hAnsi="Arial" w:cs="Arial"/>
          <w:bCs/>
        </w:rPr>
        <w:t>A state agency is authorized to retain federal program funds recovered through claims action against vendors, participants, and local agencies, and to use such recoveries for program purposes (see III.B, “Allowable Costs/Cost Principles”).</w:t>
      </w:r>
    </w:p>
    <w:p w14:paraId="5A9B625F" w14:textId="0B05FE51" w:rsidR="008A7514" w:rsidRPr="008A7514" w:rsidRDefault="008A7514" w:rsidP="008A7514">
      <w:pPr>
        <w:spacing w:after="240"/>
        <w:ind w:left="720"/>
        <w:jc w:val="both"/>
        <w:rPr>
          <w:rFonts w:ascii="Arial" w:hAnsi="Arial" w:cs="Arial"/>
          <w:bCs/>
          <w:i/>
          <w:iCs/>
        </w:rPr>
      </w:pPr>
      <w:r w:rsidRPr="008A7514">
        <w:rPr>
          <w:rFonts w:ascii="Arial" w:hAnsi="Arial" w:cs="Arial"/>
          <w:bCs/>
          <w:i/>
          <w:iCs/>
        </w:rPr>
        <w:t>6.</w:t>
      </w:r>
      <w:r w:rsidRPr="008A7514">
        <w:rPr>
          <w:rFonts w:ascii="Arial" w:hAnsi="Arial" w:cs="Arial"/>
          <w:bCs/>
          <w:i/>
          <w:iCs/>
        </w:rPr>
        <w:tab/>
        <w:t>Program Income</w:t>
      </w:r>
    </w:p>
    <w:p w14:paraId="77074AE4" w14:textId="2FCE35E3" w:rsidR="008A7514" w:rsidRPr="008A7514" w:rsidRDefault="008A7514" w:rsidP="008A7514">
      <w:pPr>
        <w:spacing w:after="240"/>
        <w:ind w:left="1440"/>
        <w:jc w:val="both"/>
        <w:rPr>
          <w:rFonts w:ascii="Arial" w:hAnsi="Arial" w:cs="Arial"/>
          <w:bCs/>
        </w:rPr>
      </w:pPr>
      <w:r w:rsidRPr="008A7514">
        <w:rPr>
          <w:rFonts w:ascii="Arial" w:hAnsi="Arial" w:cs="Arial"/>
          <w:bCs/>
        </w:rPr>
        <w:t>Certain miscellaneous receipts a state agency collects as the result of WIC program operations are classified as program income (see III.J, “Program Income”).</w:t>
      </w:r>
    </w:p>
    <w:p w14:paraId="0946AE23" w14:textId="5E9847F7" w:rsidR="008A7514" w:rsidRPr="008A7514" w:rsidRDefault="008A7514" w:rsidP="008A7514">
      <w:pPr>
        <w:spacing w:after="240"/>
        <w:ind w:left="720"/>
        <w:jc w:val="both"/>
        <w:rPr>
          <w:rFonts w:ascii="Arial" w:hAnsi="Arial" w:cs="Arial"/>
          <w:bCs/>
          <w:i/>
          <w:iCs/>
        </w:rPr>
      </w:pPr>
      <w:r w:rsidRPr="008A7514">
        <w:rPr>
          <w:rFonts w:ascii="Arial" w:hAnsi="Arial" w:cs="Arial"/>
          <w:bCs/>
          <w:i/>
          <w:iCs/>
        </w:rPr>
        <w:t>7.</w:t>
      </w:r>
      <w:r w:rsidRPr="008A7514">
        <w:rPr>
          <w:rFonts w:ascii="Arial" w:hAnsi="Arial" w:cs="Arial"/>
          <w:bCs/>
          <w:i/>
          <w:iCs/>
        </w:rPr>
        <w:tab/>
        <w:t>State Funding</w:t>
      </w:r>
    </w:p>
    <w:p w14:paraId="3D7F8C06" w14:textId="779332FA" w:rsidR="009656BB" w:rsidRDefault="008A7514" w:rsidP="008A7514">
      <w:pPr>
        <w:spacing w:after="240"/>
        <w:ind w:left="1440"/>
        <w:jc w:val="both"/>
        <w:rPr>
          <w:rFonts w:ascii="Arial" w:hAnsi="Arial" w:cs="Arial"/>
          <w:bCs/>
        </w:rPr>
      </w:pPr>
      <w:r w:rsidRPr="008A7514">
        <w:rPr>
          <w:rFonts w:ascii="Arial" w:hAnsi="Arial" w:cs="Arial"/>
          <w:bCs/>
        </w:rPr>
        <w:t>Although the federal financial participation (FFP) for WIC is 100 percent, some states voluntarily appropriate funds from their own revenues to extend WIC services beyond the level that could be supported by federal funding alone.</w:t>
      </w:r>
    </w:p>
    <w:p w14:paraId="604FD906" w14:textId="22AE36DB" w:rsidR="007C17CD" w:rsidRDefault="007C17CD" w:rsidP="00E972D8">
      <w:pPr>
        <w:spacing w:after="240"/>
        <w:ind w:left="720"/>
        <w:jc w:val="both"/>
        <w:rPr>
          <w:rFonts w:ascii="Arial" w:hAnsi="Arial" w:cs="Arial"/>
          <w:bCs/>
        </w:rPr>
      </w:pPr>
      <w:r>
        <w:rPr>
          <w:rFonts w:ascii="Arial" w:hAnsi="Arial" w:cs="Arial"/>
          <w:bCs/>
          <w:i/>
          <w:iCs/>
          <w:color w:val="002060"/>
        </w:rPr>
        <w:t>Above r</w:t>
      </w:r>
      <w:r w:rsidRPr="00F513EA">
        <w:rPr>
          <w:rFonts w:ascii="Arial" w:hAnsi="Arial" w:cs="Arial"/>
          <w:bCs/>
          <w:i/>
          <w:iCs/>
          <w:color w:val="002060"/>
        </w:rPr>
        <w:t>equirements</w:t>
      </w:r>
      <w:r w:rsidR="00E972D8">
        <w:rPr>
          <w:rFonts w:ascii="Arial" w:hAnsi="Arial" w:cs="Arial"/>
          <w:bCs/>
          <w:i/>
          <w:iCs/>
          <w:color w:val="002060"/>
        </w:rPr>
        <w:t xml:space="preserve"> only</w:t>
      </w:r>
      <w:r w:rsidRPr="00F513EA">
        <w:rPr>
          <w:rFonts w:ascii="Arial" w:hAnsi="Arial" w:cs="Arial"/>
          <w:bCs/>
          <w:i/>
          <w:iCs/>
          <w:color w:val="002060"/>
        </w:rPr>
        <w:t xml:space="preserve"> apply at State level</w:t>
      </w:r>
      <w:r>
        <w:rPr>
          <w:rFonts w:ascii="Arial" w:hAnsi="Arial" w:cs="Arial"/>
          <w:bCs/>
          <w:i/>
          <w:iCs/>
          <w:color w:val="002060"/>
        </w:rPr>
        <w:t>.</w:t>
      </w:r>
    </w:p>
    <w:p w14:paraId="6B950018" w14:textId="31A59E3A" w:rsidR="008A7514" w:rsidRPr="008A7514" w:rsidRDefault="008A7514" w:rsidP="008A7514">
      <w:pPr>
        <w:spacing w:after="240"/>
        <w:jc w:val="both"/>
        <w:rPr>
          <w:rFonts w:ascii="Arial" w:hAnsi="Arial" w:cs="Arial"/>
          <w:b/>
        </w:rPr>
      </w:pPr>
      <w:r w:rsidRPr="008A7514">
        <w:rPr>
          <w:rFonts w:ascii="Arial" w:hAnsi="Arial" w:cs="Arial"/>
          <w:b/>
        </w:rPr>
        <w:t>C.</w:t>
      </w:r>
      <w:r w:rsidRPr="008A7514">
        <w:rPr>
          <w:rFonts w:ascii="Arial" w:hAnsi="Arial" w:cs="Arial"/>
          <w:b/>
        </w:rPr>
        <w:tab/>
        <w:t>Certification</w:t>
      </w:r>
    </w:p>
    <w:p w14:paraId="5BE4B42C" w14:textId="0B96C66C" w:rsidR="008A7514" w:rsidRPr="008A7514" w:rsidRDefault="008A7514" w:rsidP="008A7514">
      <w:pPr>
        <w:spacing w:after="240"/>
        <w:ind w:left="720"/>
        <w:jc w:val="both"/>
        <w:rPr>
          <w:rFonts w:ascii="Arial" w:hAnsi="Arial" w:cs="Arial"/>
          <w:bCs/>
        </w:rPr>
      </w:pPr>
      <w:r w:rsidRPr="008A7514">
        <w:rPr>
          <w:rFonts w:ascii="Arial" w:hAnsi="Arial" w:cs="Arial"/>
          <w:bCs/>
        </w:rPr>
        <w:t>Applicants for WIC program benefits are screened at WIC clinic sites to determine whether they meet the eligibility criteria in the following categories: categorical, residency, income, and nutritional risk (see III.E.1, “Eligibility – Eligibility for Individuals”).</w:t>
      </w:r>
    </w:p>
    <w:p w14:paraId="21D6560A" w14:textId="01AC1D51" w:rsidR="008A7514" w:rsidRPr="008A7514" w:rsidRDefault="008A7514" w:rsidP="008A7514">
      <w:pPr>
        <w:spacing w:after="240"/>
        <w:jc w:val="both"/>
        <w:rPr>
          <w:rFonts w:ascii="Arial" w:hAnsi="Arial" w:cs="Arial"/>
          <w:b/>
        </w:rPr>
      </w:pPr>
      <w:r w:rsidRPr="008A7514">
        <w:rPr>
          <w:rFonts w:ascii="Arial" w:hAnsi="Arial" w:cs="Arial"/>
          <w:b/>
        </w:rPr>
        <w:t>D.</w:t>
      </w:r>
      <w:r w:rsidRPr="008A7514">
        <w:rPr>
          <w:rFonts w:ascii="Arial" w:hAnsi="Arial" w:cs="Arial"/>
          <w:b/>
        </w:rPr>
        <w:tab/>
        <w:t>Benefits</w:t>
      </w:r>
    </w:p>
    <w:p w14:paraId="05703B61" w14:textId="068E2A47" w:rsidR="008A7514" w:rsidRPr="008A7514" w:rsidRDefault="008A7514" w:rsidP="008A7514">
      <w:pPr>
        <w:spacing w:after="240"/>
        <w:ind w:left="720"/>
        <w:jc w:val="both"/>
        <w:rPr>
          <w:rFonts w:ascii="Arial" w:hAnsi="Arial" w:cs="Arial"/>
          <w:bCs/>
        </w:rPr>
      </w:pPr>
      <w:r w:rsidRPr="008A7514">
        <w:rPr>
          <w:rFonts w:ascii="Arial" w:hAnsi="Arial" w:cs="Arial"/>
          <w:bCs/>
        </w:rPr>
        <w:t>The WIC program provides participants with specific nutritious supplemental foods, nutrition education (including breastfeeding promotion and support), and health services referrals at no cost. The authorized supplemental foods are prescribed from standard food packages according to the category and nutritional need of the participant. The seven food packages available are described in detail in WIC program regulations.</w:t>
      </w:r>
    </w:p>
    <w:p w14:paraId="258852CF" w14:textId="51905745" w:rsidR="008A7514" w:rsidRPr="008A7514" w:rsidRDefault="008A7514" w:rsidP="008A7514">
      <w:pPr>
        <w:spacing w:after="240"/>
        <w:ind w:left="720"/>
        <w:jc w:val="both"/>
        <w:rPr>
          <w:rFonts w:ascii="Arial" w:hAnsi="Arial" w:cs="Arial"/>
          <w:bCs/>
        </w:rPr>
      </w:pPr>
      <w:r w:rsidRPr="008A7514">
        <w:rPr>
          <w:rFonts w:ascii="Arial" w:hAnsi="Arial" w:cs="Arial"/>
          <w:bCs/>
        </w:rPr>
        <w:t>About 75 percent of the WIC program’s annual appropriation is used to provide WIC participants with monthly food package benefits. The remainder is used to provide additional services to participants and to manage the program. Additional services provided to WIC participants include nutrition education, breastfeeding promotion and support activities, and client services, such as diet and health assessments, referral services for other health care and social services, and coordination activities.</w:t>
      </w:r>
    </w:p>
    <w:p w14:paraId="442F9E65" w14:textId="1FA2273A" w:rsidR="008A7514" w:rsidRPr="008A7514" w:rsidRDefault="008A7514" w:rsidP="008A7514">
      <w:pPr>
        <w:spacing w:after="240"/>
        <w:jc w:val="both"/>
        <w:rPr>
          <w:rFonts w:ascii="Arial" w:hAnsi="Arial" w:cs="Arial"/>
          <w:b/>
        </w:rPr>
      </w:pPr>
      <w:r w:rsidRPr="008A7514">
        <w:rPr>
          <w:rFonts w:ascii="Arial" w:hAnsi="Arial" w:cs="Arial"/>
          <w:b/>
        </w:rPr>
        <w:lastRenderedPageBreak/>
        <w:t>E.</w:t>
      </w:r>
      <w:r w:rsidRPr="008A7514">
        <w:rPr>
          <w:rFonts w:ascii="Arial" w:hAnsi="Arial" w:cs="Arial"/>
          <w:b/>
        </w:rPr>
        <w:tab/>
        <w:t>Food Benefit Delivery</w:t>
      </w:r>
    </w:p>
    <w:p w14:paraId="306639F0" w14:textId="2C91295D" w:rsidR="008A7514" w:rsidRPr="008A7514" w:rsidRDefault="008A7514" w:rsidP="008A7514">
      <w:pPr>
        <w:spacing w:after="240"/>
        <w:ind w:left="720"/>
        <w:jc w:val="both"/>
        <w:rPr>
          <w:rFonts w:ascii="Arial" w:hAnsi="Arial" w:cs="Arial"/>
          <w:bCs/>
        </w:rPr>
      </w:pPr>
      <w:r w:rsidRPr="008A7514">
        <w:rPr>
          <w:rFonts w:ascii="Arial" w:hAnsi="Arial" w:cs="Arial"/>
          <w:bCs/>
        </w:rPr>
        <w:t>Supplemental foods are provided to participants in any one of three ways, which are defined in program regulations at 7 CFR section 246.12(b) as follows:</w:t>
      </w:r>
    </w:p>
    <w:p w14:paraId="3AB18602" w14:textId="21406052" w:rsidR="008A7514" w:rsidRPr="008A7514" w:rsidRDefault="008A7514" w:rsidP="008A7514">
      <w:pPr>
        <w:spacing w:after="240"/>
        <w:ind w:left="720"/>
        <w:jc w:val="both"/>
        <w:rPr>
          <w:rFonts w:ascii="Arial" w:hAnsi="Arial" w:cs="Arial"/>
          <w:bCs/>
        </w:rPr>
      </w:pPr>
      <w:r w:rsidRPr="008A7514">
        <w:rPr>
          <w:rFonts w:ascii="Arial" w:hAnsi="Arial" w:cs="Arial"/>
          <w:bCs/>
          <w:i/>
          <w:iCs/>
        </w:rPr>
        <w:t>Direct Distribution Food Delivery Systems</w:t>
      </w:r>
      <w:r w:rsidRPr="008A7514">
        <w:rPr>
          <w:rFonts w:ascii="Arial" w:hAnsi="Arial" w:cs="Arial"/>
          <w:bCs/>
        </w:rPr>
        <w:t xml:space="preserve"> (used in West Virginia, Delaware, Pennsylvania, Maryland, and in parts of Illinois, for example)</w:t>
      </w:r>
    </w:p>
    <w:p w14:paraId="00E65B79" w14:textId="14882B3C" w:rsidR="008A7514" w:rsidRPr="008A7514" w:rsidRDefault="008A7514" w:rsidP="008A7514">
      <w:pPr>
        <w:spacing w:after="240"/>
        <w:ind w:left="720"/>
        <w:jc w:val="both"/>
        <w:rPr>
          <w:rFonts w:ascii="Arial" w:hAnsi="Arial" w:cs="Arial"/>
          <w:bCs/>
        </w:rPr>
      </w:pPr>
      <w:r w:rsidRPr="008A7514">
        <w:rPr>
          <w:rFonts w:ascii="Arial" w:hAnsi="Arial" w:cs="Arial"/>
          <w:bCs/>
        </w:rPr>
        <w:t>The state agency and/or its agent purchases supplemental foods in bulk and issues them to participants at designated distribution facilities.</w:t>
      </w:r>
    </w:p>
    <w:p w14:paraId="3548B8FF" w14:textId="0B58A52A" w:rsidR="008A7514" w:rsidRPr="008A7514" w:rsidRDefault="008A7514" w:rsidP="008A7514">
      <w:pPr>
        <w:spacing w:after="240"/>
        <w:ind w:left="720"/>
        <w:jc w:val="both"/>
        <w:rPr>
          <w:rFonts w:ascii="Arial" w:hAnsi="Arial" w:cs="Arial"/>
          <w:bCs/>
        </w:rPr>
      </w:pPr>
      <w:r w:rsidRPr="008A7514">
        <w:rPr>
          <w:rFonts w:ascii="Arial" w:hAnsi="Arial" w:cs="Arial"/>
          <w:bCs/>
          <w:i/>
          <w:iCs/>
        </w:rPr>
        <w:t>Home Food Delivery Systems</w:t>
      </w:r>
      <w:r w:rsidRPr="008A7514">
        <w:rPr>
          <w:rFonts w:ascii="Arial" w:hAnsi="Arial" w:cs="Arial"/>
          <w:bCs/>
        </w:rPr>
        <w:t xml:space="preserve"> (used in parts of Alaska)</w:t>
      </w:r>
    </w:p>
    <w:p w14:paraId="5DFDFD70" w14:textId="3EF671AD" w:rsidR="008A7514" w:rsidRPr="008A7514" w:rsidRDefault="008A7514" w:rsidP="008A7514">
      <w:pPr>
        <w:spacing w:after="240"/>
        <w:ind w:left="720"/>
        <w:jc w:val="both"/>
        <w:rPr>
          <w:rFonts w:ascii="Arial" w:hAnsi="Arial" w:cs="Arial"/>
          <w:bCs/>
        </w:rPr>
      </w:pPr>
      <w:r w:rsidRPr="008A7514">
        <w:rPr>
          <w:rFonts w:ascii="Arial" w:hAnsi="Arial" w:cs="Arial"/>
          <w:bCs/>
        </w:rPr>
        <w:t>Arrangements with home food delivery contractors provide for the delivery of supplemental foods directly to participants’ homes.</w:t>
      </w:r>
    </w:p>
    <w:p w14:paraId="6E1CEC1A" w14:textId="78E8B43B" w:rsidR="008A7514" w:rsidRPr="008A7514" w:rsidRDefault="008A7514" w:rsidP="008A7514">
      <w:pPr>
        <w:spacing w:after="240"/>
        <w:ind w:left="720"/>
        <w:jc w:val="both"/>
        <w:rPr>
          <w:rFonts w:ascii="Arial" w:hAnsi="Arial" w:cs="Arial"/>
          <w:bCs/>
        </w:rPr>
      </w:pPr>
      <w:r w:rsidRPr="008A7514">
        <w:rPr>
          <w:rFonts w:ascii="Arial" w:hAnsi="Arial" w:cs="Arial"/>
          <w:bCs/>
          <w:i/>
          <w:iCs/>
        </w:rPr>
        <w:t>Retail Food Delivery System</w:t>
      </w:r>
      <w:r w:rsidRPr="008A7514">
        <w:rPr>
          <w:rFonts w:ascii="Arial" w:hAnsi="Arial" w:cs="Arial"/>
          <w:bCs/>
        </w:rPr>
        <w:t xml:space="preserve"> (used by most state agencies)</w:t>
      </w:r>
    </w:p>
    <w:p w14:paraId="0EA6365D" w14:textId="275B9246" w:rsidR="008A7514" w:rsidRPr="008A7514" w:rsidRDefault="008A7514" w:rsidP="008A7514">
      <w:pPr>
        <w:spacing w:after="240"/>
        <w:ind w:left="720"/>
        <w:jc w:val="both"/>
        <w:rPr>
          <w:rFonts w:ascii="Arial" w:hAnsi="Arial" w:cs="Arial"/>
          <w:bCs/>
        </w:rPr>
      </w:pPr>
      <w:r w:rsidRPr="008A7514">
        <w:rPr>
          <w:rFonts w:ascii="Arial" w:hAnsi="Arial" w:cs="Arial"/>
          <w:bCs/>
        </w:rPr>
        <w:t>Negotiable FIs are issued directly to individual participants, who use them to obtain authorized supplemental foods at retail stores approved as vendors by the state agency. FIs can be either paper checks/vouchers or electronic benefit transfer (EBT) cards and may be processed by a bank and/or processor or the WIC state agency itself. For paper checks, the participant must use an FI within 30 days of the first date of use printed on the FI, and the vendor must submit the FI for payment within 60 days of that date. For EBT cards, the participant must redeem all benefits by the end of 30 days from the first date on which it was issued except for the first month of issuance. The benefit balance</w:t>
      </w:r>
      <w:r>
        <w:rPr>
          <w:rFonts w:ascii="Arial" w:hAnsi="Arial" w:cs="Arial"/>
          <w:bCs/>
        </w:rPr>
        <w:t xml:space="preserve"> </w:t>
      </w:r>
      <w:r w:rsidRPr="008A7514">
        <w:rPr>
          <w:rFonts w:ascii="Arial" w:hAnsi="Arial" w:cs="Arial"/>
          <w:bCs/>
        </w:rPr>
        <w:t>associated with the EBT account cannot be redeemed after the end date specifically authorized by the state agency management information system.</w:t>
      </w:r>
    </w:p>
    <w:p w14:paraId="68125BFC" w14:textId="31E671BA" w:rsidR="008A7514" w:rsidRPr="008A7514" w:rsidRDefault="008A7514" w:rsidP="008A7514">
      <w:pPr>
        <w:spacing w:after="240"/>
        <w:ind w:left="720"/>
        <w:jc w:val="both"/>
        <w:rPr>
          <w:rFonts w:ascii="Arial" w:hAnsi="Arial" w:cs="Arial"/>
          <w:bCs/>
        </w:rPr>
      </w:pPr>
      <w:r w:rsidRPr="008A7514">
        <w:rPr>
          <w:rFonts w:ascii="Arial" w:hAnsi="Arial" w:cs="Arial"/>
          <w:bCs/>
        </w:rPr>
        <w:t>Negotiable paper cash-value vouchers (CVVs) or EBT cash-value benefits (CVBs) are issued directly to participants, who use them to obtain authorized fruits and vegetables from WIC-authorized vendors or farmers or farmers’ markets authorized by the state agency (if the state agency elects to authorize farmers or farmers’ markets). FIs and CVVs/CVBs share several features. Both are negotiable for stated periods of time. Unlike other FIs, CVVs, and CVBs are issued with face values in standard denominations. Under EBT systems, the CVB is established as a separate food category with a benefit unit of dollars rather than food quantities. No additional EBT card or voucher is issued by the state agency.</w:t>
      </w:r>
    </w:p>
    <w:p w14:paraId="2B08A53F" w14:textId="068872CF" w:rsidR="008A7514" w:rsidRPr="008A7514" w:rsidRDefault="008A7514" w:rsidP="008A7514">
      <w:pPr>
        <w:spacing w:after="240"/>
        <w:ind w:left="720"/>
        <w:jc w:val="both"/>
        <w:rPr>
          <w:rFonts w:ascii="Arial" w:hAnsi="Arial" w:cs="Arial"/>
          <w:bCs/>
        </w:rPr>
      </w:pPr>
      <w:r w:rsidRPr="008A7514">
        <w:rPr>
          <w:rFonts w:ascii="Arial" w:hAnsi="Arial" w:cs="Arial"/>
          <w:bCs/>
        </w:rPr>
        <w:t>Each paper FI or CVV issued to a participant must have a unique serial number. In EBT, the card number represents the unique serial number for off-line benefit tracking, while a unique benefit identification (ID) number is used for on-line tracking. A state agency is required to determine the ultimate disposition of all FIs and CVVs by serial number or ID number within 120 days of the first valid date for participant use. The state agency must adjust previously reported obligations for WIC food costs in order to account for actual FI or CVV redemptions and other changes in the status of FIs or CVVs. For EBT, the CVB is accounted for as a unique benefit in the same manner as other items in the food balance.</w:t>
      </w:r>
    </w:p>
    <w:p w14:paraId="065F9130" w14:textId="210F8F1F" w:rsidR="008A7514" w:rsidRPr="00F513EA" w:rsidRDefault="008A7514" w:rsidP="008A7514">
      <w:pPr>
        <w:spacing w:after="240"/>
        <w:jc w:val="both"/>
        <w:rPr>
          <w:rFonts w:ascii="Arial" w:hAnsi="Arial" w:cs="Arial"/>
          <w:bCs/>
          <w:i/>
          <w:iCs/>
        </w:rPr>
      </w:pPr>
      <w:r w:rsidRPr="008A7514">
        <w:rPr>
          <w:rFonts w:ascii="Arial" w:hAnsi="Arial" w:cs="Arial"/>
          <w:b/>
        </w:rPr>
        <w:t>F.</w:t>
      </w:r>
      <w:r w:rsidRPr="008A7514">
        <w:rPr>
          <w:rFonts w:ascii="Arial" w:hAnsi="Arial" w:cs="Arial"/>
          <w:b/>
        </w:rPr>
        <w:tab/>
        <w:t>Cost Containment Requirements</w:t>
      </w:r>
      <w:r w:rsidR="00F513EA">
        <w:rPr>
          <w:rFonts w:ascii="Arial" w:hAnsi="Arial" w:cs="Arial"/>
          <w:bCs/>
        </w:rPr>
        <w:t xml:space="preserve"> – </w:t>
      </w:r>
      <w:r w:rsidR="00F513EA" w:rsidRPr="00F513EA">
        <w:rPr>
          <w:rFonts w:ascii="Arial" w:hAnsi="Arial" w:cs="Arial"/>
          <w:bCs/>
          <w:i/>
          <w:iCs/>
          <w:color w:val="002060"/>
        </w:rPr>
        <w:t>Requirements only apply at State level</w:t>
      </w:r>
    </w:p>
    <w:p w14:paraId="23B0ABAC" w14:textId="0D2B06AD" w:rsidR="008A7514" w:rsidRPr="008A7514" w:rsidRDefault="008A7514" w:rsidP="008A7514">
      <w:pPr>
        <w:spacing w:after="240"/>
        <w:ind w:left="720"/>
        <w:jc w:val="both"/>
        <w:rPr>
          <w:rFonts w:ascii="Arial" w:hAnsi="Arial" w:cs="Arial"/>
          <w:bCs/>
        </w:rPr>
      </w:pPr>
      <w:r w:rsidRPr="008A7514">
        <w:rPr>
          <w:rFonts w:ascii="Arial" w:hAnsi="Arial" w:cs="Arial"/>
          <w:bCs/>
        </w:rPr>
        <w:t xml:space="preserve">In an effort to use their food funding more efficiently, WIC state agencies in the 50 states, the District of Columbia, Puerto Rico, Guam, the Virgin Islands, American Samoa, the Commonwealth of the Northern Marianas Islands, and ITOs have implemented various types of cost containment measures. Managing the average food cost per person enables WIC to reach more participants with a given amount of funds. The most successful strategy has been the negotiation of competitive rebate contracts between state agencies and infant formula companies. Such contracts provide for the state agency to receive rebates on infant formula used in the program. Other cost containment </w:t>
      </w:r>
      <w:r w:rsidRPr="008A7514">
        <w:rPr>
          <w:rFonts w:ascii="Arial" w:hAnsi="Arial" w:cs="Arial"/>
          <w:bCs/>
        </w:rPr>
        <w:lastRenderedPageBreak/>
        <w:t>measures used by state agencies include competitive bidding for infant cereal, infant meats, infant fruits, and infant vegetables; selection of retail vendors based on competitive prices; setting maximum redemption amounts for FIs or food items for EBT; authorizing the use of store or generic brands of supplemental foods; and using a home delivery or direct distribution food delivery system.</w:t>
      </w:r>
    </w:p>
    <w:p w14:paraId="3ADF9B75" w14:textId="5D69AAA9" w:rsidR="008A7514" w:rsidRPr="008A7514" w:rsidRDefault="008A7514" w:rsidP="008A7514">
      <w:pPr>
        <w:spacing w:after="240"/>
        <w:ind w:left="720"/>
        <w:jc w:val="both"/>
        <w:rPr>
          <w:rFonts w:ascii="Arial" w:hAnsi="Arial" w:cs="Arial"/>
          <w:bCs/>
          <w:i/>
          <w:iCs/>
        </w:rPr>
      </w:pPr>
      <w:r w:rsidRPr="008A7514">
        <w:rPr>
          <w:rFonts w:ascii="Arial" w:hAnsi="Arial" w:cs="Arial"/>
          <w:bCs/>
          <w:i/>
          <w:iCs/>
        </w:rPr>
        <w:t>1.</w:t>
      </w:r>
      <w:r w:rsidRPr="008A7514">
        <w:rPr>
          <w:rFonts w:ascii="Arial" w:hAnsi="Arial" w:cs="Arial"/>
          <w:bCs/>
          <w:i/>
          <w:iCs/>
        </w:rPr>
        <w:tab/>
        <w:t>Vendor Cost Containment</w:t>
      </w:r>
    </w:p>
    <w:p w14:paraId="4B6DACE3" w14:textId="387E9AB8" w:rsidR="008A7514" w:rsidRPr="008A7514" w:rsidRDefault="008A7514" w:rsidP="008A7514">
      <w:pPr>
        <w:spacing w:after="240"/>
        <w:ind w:left="1440"/>
        <w:jc w:val="both"/>
        <w:rPr>
          <w:rFonts w:ascii="Arial" w:hAnsi="Arial" w:cs="Arial"/>
          <w:bCs/>
        </w:rPr>
      </w:pPr>
      <w:r w:rsidRPr="008A7514">
        <w:rPr>
          <w:rFonts w:ascii="Arial" w:hAnsi="Arial" w:cs="Arial"/>
          <w:bCs/>
        </w:rPr>
        <w:t>Requirements for selecting and paying vendors on the basis of competitive prices are in 7 CFR section 246.12(g)(4). These requirements do not apply to farmers, farmers’ markets, or to CVVs transacted by retail vendors. Unless FNS has granted a state agency an exemption, the state agency is required to:</w:t>
      </w:r>
    </w:p>
    <w:p w14:paraId="498E4C38" w14:textId="77777777" w:rsidR="008A7514" w:rsidRPr="008A7514" w:rsidRDefault="008A7514" w:rsidP="008A7514">
      <w:pPr>
        <w:spacing w:after="240"/>
        <w:ind w:left="2160" w:hanging="720"/>
        <w:jc w:val="both"/>
        <w:rPr>
          <w:rFonts w:ascii="Arial" w:hAnsi="Arial" w:cs="Arial"/>
          <w:bCs/>
        </w:rPr>
      </w:pPr>
      <w:r w:rsidRPr="008A7514">
        <w:rPr>
          <w:rFonts w:ascii="Arial" w:hAnsi="Arial" w:cs="Arial"/>
          <w:bCs/>
        </w:rPr>
        <w:t>a.</w:t>
      </w:r>
      <w:r w:rsidRPr="008A7514">
        <w:rPr>
          <w:rFonts w:ascii="Arial" w:hAnsi="Arial" w:cs="Arial"/>
          <w:bCs/>
        </w:rPr>
        <w:tab/>
        <w:t>Maintain (and assess and modify, as necessary) a vendor peer group system, whereby authorized vendors are classified into groups on the basis of common characteristics or criteria that affect food prices. At least one such criterion must be a measure of geography, such as metropolitan or other statistical areas that form distinct labor and products markets.</w:t>
      </w:r>
    </w:p>
    <w:p w14:paraId="730ECC51" w14:textId="77777777" w:rsidR="008A7514" w:rsidRPr="008A7514" w:rsidRDefault="008A7514" w:rsidP="008A7514">
      <w:pPr>
        <w:spacing w:after="240"/>
        <w:ind w:left="1440"/>
        <w:jc w:val="both"/>
        <w:rPr>
          <w:rFonts w:ascii="Arial" w:hAnsi="Arial" w:cs="Arial"/>
          <w:bCs/>
        </w:rPr>
      </w:pPr>
      <w:r w:rsidRPr="008A7514">
        <w:rPr>
          <w:rFonts w:ascii="Arial" w:hAnsi="Arial" w:cs="Arial"/>
          <w:bCs/>
        </w:rPr>
        <w:t>b.</w:t>
      </w:r>
      <w:r w:rsidRPr="008A7514">
        <w:rPr>
          <w:rFonts w:ascii="Arial" w:hAnsi="Arial" w:cs="Arial"/>
          <w:bCs/>
        </w:rPr>
        <w:tab/>
        <w:t>Select and authorize vendors by applying competitive price criteria.</w:t>
      </w:r>
    </w:p>
    <w:p w14:paraId="19C146AD" w14:textId="77777777" w:rsidR="008A7514" w:rsidRPr="008A7514" w:rsidRDefault="008A7514" w:rsidP="008A7514">
      <w:pPr>
        <w:spacing w:after="240"/>
        <w:ind w:left="1440"/>
        <w:jc w:val="both"/>
        <w:rPr>
          <w:rFonts w:ascii="Arial" w:hAnsi="Arial" w:cs="Arial"/>
          <w:bCs/>
        </w:rPr>
      </w:pPr>
      <w:r w:rsidRPr="008A7514">
        <w:rPr>
          <w:rFonts w:ascii="Arial" w:hAnsi="Arial" w:cs="Arial"/>
          <w:bCs/>
        </w:rPr>
        <w:t>c.</w:t>
      </w:r>
      <w:r w:rsidRPr="008A7514">
        <w:rPr>
          <w:rFonts w:ascii="Arial" w:hAnsi="Arial" w:cs="Arial"/>
          <w:bCs/>
        </w:rPr>
        <w:tab/>
        <w:t>Set limits on payments to vendors within each peer group.</w:t>
      </w:r>
    </w:p>
    <w:p w14:paraId="26C10915" w14:textId="77777777" w:rsidR="008A7514" w:rsidRPr="008A7514" w:rsidRDefault="008A7514" w:rsidP="008A7514">
      <w:pPr>
        <w:spacing w:after="240"/>
        <w:ind w:left="2160" w:hanging="720"/>
        <w:jc w:val="both"/>
        <w:rPr>
          <w:rFonts w:ascii="Arial" w:hAnsi="Arial" w:cs="Arial"/>
          <w:bCs/>
        </w:rPr>
      </w:pPr>
      <w:r w:rsidRPr="008A7514">
        <w:rPr>
          <w:rFonts w:ascii="Arial" w:hAnsi="Arial" w:cs="Arial"/>
          <w:bCs/>
        </w:rPr>
        <w:t>d.</w:t>
      </w:r>
      <w:r w:rsidRPr="008A7514">
        <w:rPr>
          <w:rFonts w:ascii="Arial" w:hAnsi="Arial" w:cs="Arial"/>
          <w:bCs/>
        </w:rPr>
        <w:tab/>
        <w:t>Identify vendors (called “above-50-percent vendors”) that derive more than 50 percent of their annual food sales revenue from WIC FIs.</w:t>
      </w:r>
    </w:p>
    <w:p w14:paraId="72A81EB1" w14:textId="7C707685" w:rsidR="008A7514" w:rsidRPr="008A7514" w:rsidRDefault="008A7514" w:rsidP="008A7514">
      <w:pPr>
        <w:spacing w:after="240"/>
        <w:ind w:left="2160" w:hanging="720"/>
        <w:jc w:val="both"/>
        <w:rPr>
          <w:rFonts w:ascii="Arial" w:hAnsi="Arial" w:cs="Arial"/>
          <w:bCs/>
        </w:rPr>
      </w:pPr>
      <w:r w:rsidRPr="008A7514">
        <w:rPr>
          <w:rFonts w:ascii="Arial" w:hAnsi="Arial" w:cs="Arial"/>
          <w:bCs/>
        </w:rPr>
        <w:t>e.</w:t>
      </w:r>
      <w:r w:rsidRPr="008A7514">
        <w:rPr>
          <w:rFonts w:ascii="Arial" w:hAnsi="Arial" w:cs="Arial"/>
          <w:bCs/>
        </w:rPr>
        <w:tab/>
        <w:t>Comply with requirements designed to ensure that the use of above-50- percent vendors is cost neutral to the program (that is, that it does not result in higher WIC food costs than would have been the case if WIC participants had transacted their WIC FIs only at regular vendors). (See III.N.4, “Special Tests and Provisions – Authorization of Above-50- Percent Vendors.”)</w:t>
      </w:r>
    </w:p>
    <w:p w14:paraId="5C9981C7" w14:textId="101A8568" w:rsidR="008A7514" w:rsidRPr="008A7514" w:rsidRDefault="008A7514" w:rsidP="008A7514">
      <w:pPr>
        <w:spacing w:after="240"/>
        <w:ind w:left="720"/>
        <w:jc w:val="both"/>
        <w:rPr>
          <w:rFonts w:ascii="Arial" w:hAnsi="Arial" w:cs="Arial"/>
          <w:bCs/>
          <w:i/>
          <w:iCs/>
        </w:rPr>
      </w:pPr>
      <w:r w:rsidRPr="008A7514">
        <w:rPr>
          <w:rFonts w:ascii="Arial" w:hAnsi="Arial" w:cs="Arial"/>
          <w:bCs/>
          <w:i/>
          <w:iCs/>
        </w:rPr>
        <w:t>2.</w:t>
      </w:r>
      <w:r w:rsidRPr="008A7514">
        <w:rPr>
          <w:rFonts w:ascii="Arial" w:hAnsi="Arial" w:cs="Arial"/>
          <w:bCs/>
          <w:i/>
          <w:iCs/>
        </w:rPr>
        <w:tab/>
        <w:t>Infant Formula Cost Containment</w:t>
      </w:r>
    </w:p>
    <w:p w14:paraId="1A502753" w14:textId="7767D287" w:rsidR="008A7514" w:rsidRPr="008A7514" w:rsidRDefault="008A7514" w:rsidP="008A7514">
      <w:pPr>
        <w:spacing w:after="240"/>
        <w:ind w:left="1440"/>
        <w:jc w:val="both"/>
        <w:rPr>
          <w:rFonts w:ascii="Arial" w:hAnsi="Arial" w:cs="Arial"/>
          <w:bCs/>
        </w:rPr>
      </w:pPr>
      <w:r w:rsidRPr="008A7514">
        <w:rPr>
          <w:rFonts w:ascii="Arial" w:hAnsi="Arial" w:cs="Arial"/>
          <w:bCs/>
        </w:rPr>
        <w:t>As provided above, the most successful cost containment strategy is competitively bid infant formula rebate contracts between State agencies and infant formula manufacturers, as required by the Child Nutrition Act of 1966 (42 U.S.C. 1786), as amended, and implementing regulations. For 2022, total rebates received for WIC were approximately $1.5 billion, the cost of providing benefits to an average of 1.32 million participants each month, or 21 percent of the estimated average monthly WIC caseload.</w:t>
      </w:r>
    </w:p>
    <w:p w14:paraId="1D40A784" w14:textId="6BA5680A" w:rsidR="008A7514" w:rsidRPr="008A7514" w:rsidRDefault="008A7514" w:rsidP="008A7514">
      <w:pPr>
        <w:spacing w:after="240"/>
        <w:ind w:left="1440"/>
        <w:jc w:val="both"/>
        <w:rPr>
          <w:rFonts w:ascii="Arial" w:hAnsi="Arial" w:cs="Arial"/>
          <w:bCs/>
        </w:rPr>
      </w:pPr>
      <w:r w:rsidRPr="008A7514">
        <w:rPr>
          <w:rFonts w:ascii="Arial" w:hAnsi="Arial" w:cs="Arial"/>
          <w:bCs/>
        </w:rPr>
        <w:t>State agencies use savings generated by these kinds of strategies to provide benefits to more participants within the same total budget.</w:t>
      </w:r>
    </w:p>
    <w:p w14:paraId="16D21DC3" w14:textId="31862734" w:rsidR="008A7514" w:rsidRPr="008A7514" w:rsidRDefault="008A7514" w:rsidP="008A7514">
      <w:pPr>
        <w:spacing w:after="240"/>
        <w:ind w:left="1440"/>
        <w:jc w:val="both"/>
        <w:rPr>
          <w:rFonts w:ascii="Arial" w:hAnsi="Arial" w:cs="Arial"/>
          <w:bCs/>
        </w:rPr>
      </w:pPr>
      <w:r w:rsidRPr="008A7514">
        <w:rPr>
          <w:rFonts w:ascii="Arial" w:hAnsi="Arial" w:cs="Arial"/>
          <w:bCs/>
        </w:rPr>
        <w:t>In response to a major infant formula manufacturer voluntarily recalling certain powder infant formula and related supply chain disruptions in 2022, FNS provided flexibility to WIC State agencies on certain federal requirements to ensure WIC participants could access the safe infant formula available in the marketplace. Further, the Access to Baby Formula Act of 2022 (P.L. 117-129) amended Section 17 of the Child Nutrition Act of 1966 (42 U.S.C. 1786) to provide USDA with permanent waiver authority to help ensure continuity of WIC services during emergency periods and supply chain disruptions impacting WIC. The Access to Baby Formula Act of 2022 (P.L. 117-129) also set forth requirements in section 17(h)(8)(L) of the Child Nutrition Act of 1966 (42 U.S.C. 1786) for State agencies to include language in their WIC infant formula rebate contracts that describes remedies in the event of an infant formula recall, including how an infant formula manufacturer would protect against disruption to program participants in the State.</w:t>
      </w:r>
    </w:p>
    <w:p w14:paraId="60BD4A96" w14:textId="716EDDA7" w:rsidR="008A7514" w:rsidRPr="008A7514" w:rsidRDefault="008A7514" w:rsidP="008A7514">
      <w:pPr>
        <w:spacing w:after="240"/>
        <w:ind w:left="1440"/>
        <w:jc w:val="both"/>
        <w:rPr>
          <w:rFonts w:ascii="Arial" w:hAnsi="Arial" w:cs="Arial"/>
          <w:bCs/>
        </w:rPr>
      </w:pPr>
      <w:r w:rsidRPr="008A7514">
        <w:rPr>
          <w:rFonts w:ascii="Arial" w:hAnsi="Arial" w:cs="Arial"/>
          <w:bCs/>
        </w:rPr>
        <w:lastRenderedPageBreak/>
        <w:t>All contracts entered into or renewed on or after May 21, 2022, the date of enactment of the Access to Baby Formula Act of 2022 (P.L. 117-129), must meet this requirement. FNS considers a new contract to be entered into upon award after a competitively bid process. Therefore, this requirement does not apply to contracts that were awarded and/or signed prior to May 21, 2022.</w:t>
      </w:r>
    </w:p>
    <w:p w14:paraId="221DB03B" w14:textId="5457C8B6" w:rsidR="008A7514" w:rsidRPr="008A7514" w:rsidRDefault="008A7514" w:rsidP="008A7514">
      <w:pPr>
        <w:spacing w:after="240"/>
        <w:jc w:val="both"/>
        <w:rPr>
          <w:rFonts w:ascii="Arial" w:hAnsi="Arial" w:cs="Arial"/>
          <w:b/>
        </w:rPr>
      </w:pPr>
      <w:r w:rsidRPr="008A7514">
        <w:rPr>
          <w:rFonts w:ascii="Arial" w:hAnsi="Arial" w:cs="Arial"/>
          <w:b/>
        </w:rPr>
        <w:t>G.</w:t>
      </w:r>
      <w:r w:rsidRPr="008A7514">
        <w:rPr>
          <w:rFonts w:ascii="Arial" w:hAnsi="Arial" w:cs="Arial"/>
          <w:b/>
        </w:rPr>
        <w:tab/>
        <w:t>Federal Oversight and Compliance Mechanisms</w:t>
      </w:r>
    </w:p>
    <w:p w14:paraId="2B674FAB" w14:textId="471CA0D3" w:rsidR="008A7514" w:rsidRPr="008A7514" w:rsidRDefault="008A7514" w:rsidP="008A7514">
      <w:pPr>
        <w:spacing w:after="240"/>
        <w:ind w:left="720"/>
        <w:jc w:val="both"/>
        <w:rPr>
          <w:rFonts w:ascii="Arial" w:hAnsi="Arial" w:cs="Arial"/>
          <w:bCs/>
        </w:rPr>
      </w:pPr>
      <w:r w:rsidRPr="008A7514">
        <w:rPr>
          <w:rFonts w:ascii="Arial" w:hAnsi="Arial" w:cs="Arial"/>
          <w:bCs/>
        </w:rPr>
        <w:t>FNS oversees state operations through an organization consisting of headquarters and seven regional offices. Federal program oversight encompasses review of the nine functional areas of the program through management evaluations (MEs): Organization and Management; Funding and Participation; Vendor Management; Information Systems; Certification, Eligibility, and Coordination; Nutrition Services; Civil Rights; Monitoring and Audits; and Food Delivery. Each year, FNS issues a WIC ME Target Area Memorandum, which instructs regional offices what to evaluate via MEs the following year. Target Areas are established in order to focus FNS’s oversight efforts on key areas related to WIC program integrity and operations. Usually, the Target Area comprises one functional area and risk-based MEs.</w:t>
      </w:r>
    </w:p>
    <w:p w14:paraId="75DCEA34" w14:textId="4817F7AD" w:rsidR="008A7514" w:rsidRPr="008A7514" w:rsidRDefault="008A7514" w:rsidP="008A7514">
      <w:pPr>
        <w:spacing w:after="240"/>
        <w:ind w:left="720"/>
        <w:jc w:val="both"/>
        <w:rPr>
          <w:rFonts w:ascii="Arial" w:hAnsi="Arial" w:cs="Arial"/>
          <w:bCs/>
        </w:rPr>
      </w:pPr>
      <w:r w:rsidRPr="008A7514">
        <w:rPr>
          <w:rFonts w:ascii="Arial" w:hAnsi="Arial" w:cs="Arial"/>
          <w:bCs/>
        </w:rPr>
        <w:t>Although FNS uses technical assistance extensively to promote improvements in state operation of the WIC program, enforcement mechanisms are also present. The misuse of funds through state or local agency negligence or fraud may result in the assessment of a claim. Claims may be established for funds lost due to FI or CVV theft or embezzlement or for unreconciled FIs or CVVs. FNS has other mechanisms to recover other losses and the cost of negligence. For other forms of noncompliance, FNS has the authority to give notice and, if improvements do not occur, withhold administrative funds for failure to implement program requirements.</w:t>
      </w:r>
    </w:p>
    <w:p w14:paraId="3E6EB3E1" w14:textId="3711C860" w:rsidR="008A7514" w:rsidRDefault="008A7514" w:rsidP="008A7514">
      <w:pPr>
        <w:spacing w:after="240"/>
        <w:ind w:left="720"/>
        <w:jc w:val="both"/>
        <w:rPr>
          <w:rFonts w:ascii="Arial" w:hAnsi="Arial" w:cs="Arial"/>
          <w:bCs/>
        </w:rPr>
      </w:pPr>
      <w:r w:rsidRPr="008A7514">
        <w:rPr>
          <w:rFonts w:ascii="Arial" w:hAnsi="Arial" w:cs="Arial"/>
          <w:bCs/>
        </w:rPr>
        <w:t>FNS has identified the following circumstances that may indicate noncompliance with WIC program requirements: (1) redeemed FIs or CVVs which the issuing local agencies had reported as voided or unclaimed; (2) a large number of consecutively numbered, unreconciled FIs or CVVs issued by the same local agency; (3) redeemed FIs or CVVs that appear to have been validly issued but fail to match issuance records; and (4) participants that transacted all of their FIs or EBT balances on the same day as they were issued.</w:t>
      </w:r>
    </w:p>
    <w:p w14:paraId="1550A2BB" w14:textId="1A697344" w:rsidR="008A7514" w:rsidRPr="00F00D94" w:rsidRDefault="008A7514" w:rsidP="008A751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612B87C9" w14:textId="77777777" w:rsidR="009656BB" w:rsidRPr="00A0464C" w:rsidRDefault="009656BB" w:rsidP="006672EA">
      <w:pPr>
        <w:pStyle w:val="Heading3"/>
        <w:jc w:val="both"/>
        <w:rPr>
          <w:rFonts w:cs="Arial"/>
          <w:sz w:val="24"/>
          <w:szCs w:val="24"/>
        </w:rPr>
      </w:pPr>
      <w:bookmarkStart w:id="19" w:name="_Toc188606052"/>
      <w:r w:rsidRPr="00A0464C">
        <w:rPr>
          <w:rFonts w:cs="Arial"/>
          <w:sz w:val="24"/>
          <w:szCs w:val="24"/>
        </w:rPr>
        <w:t>III. Source of Governing Requirements</w:t>
      </w:r>
      <w:bookmarkEnd w:id="19"/>
    </w:p>
    <w:p w14:paraId="5E052068" w14:textId="0927C2D4" w:rsidR="006F570B" w:rsidRPr="00F00D94" w:rsidRDefault="008A7514" w:rsidP="006672EA">
      <w:pPr>
        <w:spacing w:after="240"/>
        <w:jc w:val="both"/>
        <w:rPr>
          <w:rFonts w:ascii="Arial" w:hAnsi="Arial" w:cs="Arial"/>
          <w:bCs/>
        </w:rPr>
      </w:pPr>
      <w:r w:rsidRPr="008A7514">
        <w:rPr>
          <w:rFonts w:ascii="Arial" w:hAnsi="Arial" w:cs="Arial"/>
          <w:bCs/>
        </w:rPr>
        <w:t>The WIC Program is authorized by Section 17 of the Child Nutrition Act of 1966 (42 U.S.C. 1786). Program regulations are found at 7 CFR Part 246.</w:t>
      </w:r>
    </w:p>
    <w:p w14:paraId="05B90F53" w14:textId="13C84337" w:rsidR="006F570B" w:rsidRPr="00F00D94" w:rsidRDefault="008A7514" w:rsidP="008A751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278D98F4" w14:textId="77777777" w:rsidR="006F570B" w:rsidRPr="00A0464C" w:rsidRDefault="00386445" w:rsidP="006672EA">
      <w:pPr>
        <w:pStyle w:val="Heading3"/>
        <w:jc w:val="both"/>
        <w:rPr>
          <w:rFonts w:cs="Arial"/>
          <w:sz w:val="24"/>
          <w:szCs w:val="24"/>
        </w:rPr>
      </w:pPr>
      <w:bookmarkStart w:id="20" w:name="_Toc188606053"/>
      <w:r w:rsidRPr="00A0464C">
        <w:rPr>
          <w:rFonts w:cs="Arial"/>
          <w:sz w:val="24"/>
          <w:szCs w:val="24"/>
        </w:rPr>
        <w:t xml:space="preserve">IV. </w:t>
      </w:r>
      <w:r w:rsidR="009C1FCD" w:rsidRPr="00A0464C">
        <w:rPr>
          <w:rFonts w:cs="Arial"/>
          <w:sz w:val="24"/>
          <w:szCs w:val="24"/>
        </w:rPr>
        <w:t>Other Information</w:t>
      </w:r>
      <w:bookmarkEnd w:id="20"/>
    </w:p>
    <w:p w14:paraId="54633498" w14:textId="0F1F248A" w:rsidR="008A7514" w:rsidRPr="008A7514" w:rsidRDefault="008A7514" w:rsidP="006672EA">
      <w:pPr>
        <w:spacing w:after="240"/>
        <w:jc w:val="both"/>
        <w:rPr>
          <w:rFonts w:ascii="Arial" w:hAnsi="Arial" w:cs="Arial"/>
          <w:b/>
        </w:rPr>
      </w:pPr>
      <w:r>
        <w:rPr>
          <w:rFonts w:ascii="Arial" w:hAnsi="Arial" w:cs="Arial"/>
          <w:b/>
        </w:rPr>
        <w:t>Availability of Other Program Information</w:t>
      </w:r>
    </w:p>
    <w:p w14:paraId="7E318C26" w14:textId="1CF6B9A3" w:rsidR="008148E3" w:rsidRDefault="008A7514" w:rsidP="006672EA">
      <w:pPr>
        <w:spacing w:after="240"/>
        <w:jc w:val="both"/>
        <w:rPr>
          <w:rFonts w:ascii="Arial" w:hAnsi="Arial" w:cs="Arial"/>
          <w:bCs/>
        </w:rPr>
      </w:pPr>
      <w:r w:rsidRPr="008A7514">
        <w:rPr>
          <w:rFonts w:ascii="Arial" w:hAnsi="Arial" w:cs="Arial"/>
          <w:bCs/>
        </w:rPr>
        <w:t>For other information, contact the applicable FNS regional office. Regional office contact information and the states each regional office serves may be found on FNS’s website (</w:t>
      </w:r>
      <w:hyperlink r:id="rId30" w:history="1">
        <w:r w:rsidRPr="00AE7B99">
          <w:rPr>
            <w:rStyle w:val="Hyperlink"/>
            <w:rFonts w:cs="Arial"/>
            <w:bCs/>
          </w:rPr>
          <w:t>http://www.fns.usda.gov/wic</w:t>
        </w:r>
      </w:hyperlink>
      <w:r w:rsidRPr="008A7514">
        <w:rPr>
          <w:rFonts w:ascii="Arial" w:hAnsi="Arial" w:cs="Arial"/>
          <w:bCs/>
        </w:rPr>
        <w:t>). The WIC program regulations can be found at that website as well.</w:t>
      </w:r>
    </w:p>
    <w:p w14:paraId="34D3EF0D" w14:textId="7FB7BC5D" w:rsidR="008A7514" w:rsidRPr="00F00D94" w:rsidRDefault="008A7514" w:rsidP="008A751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8606054"/>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8606055"/>
      <w:r w:rsidRPr="00A0464C">
        <w:rPr>
          <w:rFonts w:cs="Arial"/>
          <w:sz w:val="24"/>
          <w:szCs w:val="24"/>
        </w:rPr>
        <w:t>Program Overview</w:t>
      </w:r>
      <w:bookmarkEnd w:id="23"/>
    </w:p>
    <w:p w14:paraId="4509EC47" w14:textId="3CB3F625" w:rsidR="006550AB" w:rsidRDefault="006550AB" w:rsidP="00612E97">
      <w:pPr>
        <w:autoSpaceDE w:val="0"/>
        <w:autoSpaceDN w:val="0"/>
        <w:adjustRightInd w:val="0"/>
        <w:spacing w:before="240" w:after="240"/>
        <w:jc w:val="both"/>
        <w:rPr>
          <w:rFonts w:ascii="Arial" w:hAnsi="Arial" w:cs="Arial"/>
          <w:kern w:val="2"/>
        </w:rPr>
      </w:pPr>
      <w:r w:rsidRPr="006550AB">
        <w:rPr>
          <w:rFonts w:ascii="Arial" w:hAnsi="Arial" w:cs="Arial"/>
          <w:kern w:val="2"/>
        </w:rPr>
        <w:t>U.S. Department of Agriculture passes WIC funding through to the Ohio Department of Health (ODH).</w:t>
      </w:r>
    </w:p>
    <w:p w14:paraId="334D166C" w14:textId="13C32F71" w:rsidR="004E2C28" w:rsidRPr="004E2C28" w:rsidRDefault="004E2C28" w:rsidP="004E2C28">
      <w:pPr>
        <w:autoSpaceDE w:val="0"/>
        <w:autoSpaceDN w:val="0"/>
        <w:adjustRightInd w:val="0"/>
        <w:spacing w:before="240" w:after="240"/>
        <w:jc w:val="both"/>
        <w:rPr>
          <w:rFonts w:ascii="Arial" w:hAnsi="Arial" w:cs="Arial"/>
          <w:i/>
          <w:iCs/>
          <w:kern w:val="2"/>
        </w:rPr>
      </w:pPr>
      <w:r>
        <w:rPr>
          <w:rFonts w:ascii="Arial" w:hAnsi="Arial" w:cs="Arial"/>
          <w:i/>
          <w:iCs/>
          <w:kern w:val="2"/>
        </w:rPr>
        <w:t xml:space="preserve">(Source: </w:t>
      </w:r>
      <w:r w:rsidRPr="004E2C28">
        <w:rPr>
          <w:rFonts w:ascii="Arial" w:hAnsi="Arial" w:cs="Arial"/>
          <w:i/>
          <w:iCs/>
          <w:kern w:val="2"/>
        </w:rPr>
        <w:t>Shannon Coleman</w:t>
      </w:r>
      <w:r>
        <w:rPr>
          <w:rFonts w:ascii="Arial" w:hAnsi="Arial" w:cs="Arial"/>
          <w:i/>
          <w:iCs/>
          <w:kern w:val="2"/>
        </w:rPr>
        <w:t xml:space="preserve">, </w:t>
      </w:r>
      <w:r w:rsidRPr="004E2C28">
        <w:rPr>
          <w:rFonts w:ascii="Arial" w:hAnsi="Arial" w:cs="Arial"/>
          <w:i/>
          <w:iCs/>
          <w:kern w:val="2"/>
        </w:rPr>
        <w:t>Audit and Compliance Supervisor</w:t>
      </w:r>
      <w:r>
        <w:rPr>
          <w:rFonts w:ascii="Arial" w:hAnsi="Arial" w:cs="Arial"/>
          <w:i/>
          <w:iCs/>
          <w:kern w:val="2"/>
        </w:rPr>
        <w:t xml:space="preserve">, </w:t>
      </w:r>
      <w:r w:rsidRPr="004E2C28">
        <w:rPr>
          <w:rFonts w:ascii="Arial" w:hAnsi="Arial" w:cs="Arial"/>
          <w:i/>
          <w:iCs/>
          <w:kern w:val="2"/>
        </w:rPr>
        <w:t>Financial Program Manager</w:t>
      </w:r>
      <w:r>
        <w:rPr>
          <w:rFonts w:ascii="Arial" w:hAnsi="Arial" w:cs="Arial"/>
          <w:i/>
          <w:iCs/>
          <w:kern w:val="2"/>
        </w:rPr>
        <w:t xml:space="preserve">, ODH </w:t>
      </w:r>
      <w:r w:rsidRPr="004E2C28">
        <w:rPr>
          <w:rFonts w:ascii="Arial" w:hAnsi="Arial" w:cs="Arial"/>
          <w:i/>
          <w:iCs/>
          <w:kern w:val="2"/>
        </w:rPr>
        <w:t xml:space="preserve">Office of Financial Affairs </w:t>
      </w:r>
      <w:r>
        <w:rPr>
          <w:rFonts w:ascii="Arial" w:hAnsi="Arial" w:cs="Arial"/>
          <w:i/>
          <w:iCs/>
          <w:kern w:val="2"/>
        </w:rPr>
        <w:t>12/16/2024)</w:t>
      </w:r>
    </w:p>
    <w:p w14:paraId="17B8B07B" w14:textId="069609FD" w:rsidR="00612E97" w:rsidRPr="00B470E4" w:rsidRDefault="00612E97" w:rsidP="00612E97">
      <w:pPr>
        <w:autoSpaceDE w:val="0"/>
        <w:autoSpaceDN w:val="0"/>
        <w:adjustRightInd w:val="0"/>
        <w:spacing w:before="240" w:after="240"/>
        <w:jc w:val="both"/>
        <w:rPr>
          <w:rFonts w:ascii="Arial" w:hAnsi="Arial" w:cs="Arial"/>
          <w:kern w:val="2"/>
        </w:rPr>
      </w:pPr>
      <w:r w:rsidRPr="00B470E4">
        <w:rPr>
          <w:rFonts w:ascii="Arial" w:hAnsi="Arial" w:cs="Arial"/>
          <w:kern w:val="2"/>
        </w:rPr>
        <w:t>In Ohio, ODH recipients are governed by the uniform administration guidelines in the ODH Grants Administration Policy and Procedure Manual (GAPP Manual).  Several sections of that manual are used as sources within this document.  The manual should be available from the local entity for auditors to review; however, the OGAPP Manual is also available on the ODH web site.</w:t>
      </w:r>
      <w:r>
        <w:rPr>
          <w:rFonts w:ascii="Arial" w:hAnsi="Arial" w:cs="Arial"/>
          <w:kern w:val="2"/>
        </w:rPr>
        <w:t xml:space="preserve">  ODH updated the requirements for deliverable subgrant programs and the uniform guidance changes pertaining to the indirect cost de minimis and Single Audit threshold.  </w:t>
      </w:r>
    </w:p>
    <w:p w14:paraId="03B0752D" w14:textId="49AA7789" w:rsidR="003644ED" w:rsidRPr="00F00D94" w:rsidRDefault="00612E97" w:rsidP="006672EA">
      <w:pPr>
        <w:spacing w:after="240"/>
        <w:jc w:val="both"/>
        <w:rPr>
          <w:rFonts w:ascii="Arial" w:hAnsi="Arial" w:cs="Arial"/>
        </w:rPr>
      </w:pPr>
      <w:r w:rsidRPr="00B470E4">
        <w:rPr>
          <w:rFonts w:ascii="Arial" w:hAnsi="Arial" w:cs="Arial"/>
          <w:i/>
        </w:rPr>
        <w:t xml:space="preserve">(Source: </w:t>
      </w:r>
      <w:hyperlink r:id="rId32" w:history="1">
        <w:r w:rsidRPr="00B1600B">
          <w:rPr>
            <w:rStyle w:val="Hyperlink"/>
            <w:rFonts w:cs="Arial"/>
            <w:i/>
          </w:rPr>
          <w:t>OGAPP Manual</w:t>
        </w:r>
      </w:hyperlink>
      <w:r w:rsidRPr="00B470E4">
        <w:rPr>
          <w:rFonts w:ascii="Arial" w:hAnsi="Arial" w:cs="Arial"/>
          <w:i/>
        </w:rPr>
        <w:t xml:space="preserve">, Updated December </w:t>
      </w:r>
      <w:r w:rsidRPr="002F03F5">
        <w:rPr>
          <w:rFonts w:ascii="Arial" w:hAnsi="Arial" w:cs="Arial"/>
          <w:i/>
        </w:rPr>
        <w:t>2017</w:t>
      </w:r>
      <w:r w:rsidR="002F03F5" w:rsidRPr="002F03F5">
        <w:rPr>
          <w:rFonts w:ascii="Arial" w:hAnsi="Arial" w:cs="Arial"/>
          <w:i/>
        </w:rPr>
        <w:t xml:space="preserve"> and Amadou Diallo,</w:t>
      </w:r>
      <w:r w:rsidR="002F03F5">
        <w:rPr>
          <w:rFonts w:ascii="Arial" w:hAnsi="Arial" w:cs="Arial"/>
          <w:i/>
        </w:rPr>
        <w:t xml:space="preserve"> </w:t>
      </w:r>
      <w:r w:rsidR="002F03F5" w:rsidRPr="002F03F5">
        <w:rPr>
          <w:rFonts w:ascii="Arial" w:hAnsi="Arial" w:cs="Arial"/>
          <w:i/>
        </w:rPr>
        <w:t>Chief Fiscal Officer</w:t>
      </w:r>
      <w:r w:rsidR="002F03F5">
        <w:rPr>
          <w:rFonts w:ascii="Arial" w:hAnsi="Arial" w:cs="Arial"/>
          <w:i/>
        </w:rPr>
        <w:t xml:space="preserve">, Ohio Department of Health </w:t>
      </w:r>
      <w:r w:rsidR="002F03F5" w:rsidRPr="002F03F5">
        <w:rPr>
          <w:rFonts w:ascii="Arial" w:hAnsi="Arial" w:cs="Arial"/>
          <w:i/>
        </w:rPr>
        <w:t>Office of Financial Affairs</w:t>
      </w:r>
      <w:r>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4" w:name="_Toc188606056"/>
      <w:r w:rsidRPr="00A0464C">
        <w:rPr>
          <w:rFonts w:cs="Arial"/>
          <w:sz w:val="24"/>
          <w:szCs w:val="24"/>
        </w:rPr>
        <w:t>Testing Considerations</w:t>
      </w:r>
      <w:bookmarkEnd w:id="24"/>
    </w:p>
    <w:p w14:paraId="2CB92B71" w14:textId="77777777" w:rsidR="00612E97" w:rsidRPr="00D479A4" w:rsidRDefault="00612E97" w:rsidP="00612E97">
      <w:pPr>
        <w:spacing w:after="240"/>
        <w:jc w:val="both"/>
        <w:rPr>
          <w:rFonts w:ascii="Arial" w:hAnsi="Arial" w:cs="Arial"/>
          <w:b/>
        </w:rPr>
      </w:pPr>
      <w:r w:rsidRPr="00D479A4">
        <w:rPr>
          <w:rFonts w:ascii="Arial" w:hAnsi="Arial" w:cs="Arial"/>
          <w:b/>
          <w:u w:val="single"/>
        </w:rPr>
        <w:t>Ohio Department of Health</w:t>
      </w:r>
      <w:r w:rsidRPr="00D479A4">
        <w:rPr>
          <w:rFonts w:ascii="Arial" w:hAnsi="Arial" w:cs="Arial"/>
          <w:b/>
        </w:rPr>
        <w:t>:</w:t>
      </w:r>
    </w:p>
    <w:p w14:paraId="56C4644B" w14:textId="77777777" w:rsidR="00612E97" w:rsidRPr="00C17616" w:rsidRDefault="00612E97" w:rsidP="00612E97">
      <w:pPr>
        <w:autoSpaceDE w:val="0"/>
        <w:autoSpaceDN w:val="0"/>
        <w:adjustRightInd w:val="0"/>
        <w:jc w:val="both"/>
        <w:rPr>
          <w:rFonts w:ascii="Arial" w:hAnsi="Arial" w:cs="Arial"/>
          <w:b/>
          <w:bCs/>
        </w:rPr>
      </w:pPr>
      <w:r w:rsidRPr="00C17616">
        <w:rPr>
          <w:rFonts w:ascii="Arial" w:hAnsi="Arial" w:cs="Arial"/>
          <w:b/>
          <w:bCs/>
        </w:rPr>
        <w:t>Subgrant Types and Requirements (Requirements include but are not limited to the lists</w:t>
      </w:r>
    </w:p>
    <w:p w14:paraId="47486DB5" w14:textId="77777777" w:rsidR="00612E97" w:rsidRDefault="00612E97" w:rsidP="00612E97">
      <w:pPr>
        <w:jc w:val="both"/>
        <w:rPr>
          <w:rFonts w:ascii="Arial" w:hAnsi="Arial" w:cs="Arial"/>
          <w:b/>
          <w:bCs/>
        </w:rPr>
      </w:pPr>
      <w:r w:rsidRPr="00C17616">
        <w:rPr>
          <w:rFonts w:ascii="Arial" w:hAnsi="Arial" w:cs="Arial"/>
          <w:b/>
          <w:bCs/>
        </w:rPr>
        <w:t>below)</w:t>
      </w:r>
    </w:p>
    <w:p w14:paraId="40A59823" w14:textId="77777777" w:rsidR="00612E97" w:rsidRPr="00C17616" w:rsidRDefault="00612E97" w:rsidP="00612E97">
      <w:pPr>
        <w:jc w:val="both"/>
        <w:rPr>
          <w:rFonts w:ascii="Arial" w:hAnsi="Arial" w:cs="Arial"/>
        </w:rPr>
      </w:pPr>
    </w:p>
    <w:p w14:paraId="2BCA5952" w14:textId="77777777" w:rsidR="00612E97" w:rsidRPr="00C17616" w:rsidRDefault="00612E97" w:rsidP="00612E97">
      <w:pPr>
        <w:autoSpaceDE w:val="0"/>
        <w:autoSpaceDN w:val="0"/>
        <w:adjustRightInd w:val="0"/>
        <w:spacing w:after="240"/>
        <w:jc w:val="both"/>
        <w:rPr>
          <w:rFonts w:ascii="Arial" w:hAnsi="Arial" w:cs="Arial"/>
          <w:b/>
          <w:bCs/>
        </w:rPr>
      </w:pPr>
      <w:r w:rsidRPr="00C17616">
        <w:rPr>
          <w:rFonts w:ascii="Arial" w:hAnsi="Arial" w:cs="Arial"/>
          <w:b/>
          <w:bCs/>
        </w:rPr>
        <w:t>100% Base Funding</w:t>
      </w:r>
    </w:p>
    <w:p w14:paraId="0CD17A21" w14:textId="77777777" w:rsidR="00612E97" w:rsidRPr="00C17616" w:rsidRDefault="00612E97" w:rsidP="00C96EF3">
      <w:pPr>
        <w:pStyle w:val="ListParagraph"/>
        <w:numPr>
          <w:ilvl w:val="0"/>
          <w:numId w:val="46"/>
        </w:numPr>
        <w:spacing w:after="240"/>
        <w:jc w:val="both"/>
        <w:rPr>
          <w:rFonts w:ascii="Arial" w:hAnsi="Arial" w:cs="Arial"/>
        </w:rPr>
      </w:pPr>
      <w:r w:rsidRPr="00C17616">
        <w:rPr>
          <w:rFonts w:ascii="Arial" w:hAnsi="Arial" w:cs="Arial"/>
        </w:rPr>
        <w:t>Subrecipients must follow all the policies spelled out throughout this manual except for the policies related to 100% deliverables.</w:t>
      </w:r>
    </w:p>
    <w:p w14:paraId="5B470792" w14:textId="77777777" w:rsidR="00612E97" w:rsidRPr="00C17616" w:rsidRDefault="00612E97" w:rsidP="00C96EF3">
      <w:pPr>
        <w:pStyle w:val="ListParagraph"/>
        <w:numPr>
          <w:ilvl w:val="0"/>
          <w:numId w:val="46"/>
        </w:numPr>
        <w:spacing w:after="240"/>
        <w:jc w:val="both"/>
        <w:rPr>
          <w:rFonts w:ascii="Arial" w:hAnsi="Arial" w:cs="Arial"/>
        </w:rPr>
      </w:pPr>
      <w:r w:rsidRPr="00C17616">
        <w:rPr>
          <w:rFonts w:ascii="Arial" w:hAnsi="Arial" w:cs="Arial"/>
        </w:rPr>
        <w:t>Examples</w:t>
      </w:r>
      <w:r>
        <w:rPr>
          <w:rFonts w:ascii="Arial" w:hAnsi="Arial" w:cs="Arial"/>
        </w:rPr>
        <w:t>:</w:t>
      </w:r>
    </w:p>
    <w:p w14:paraId="4EFA6619" w14:textId="77777777" w:rsidR="00612E97" w:rsidRDefault="00612E97" w:rsidP="00C96EF3">
      <w:pPr>
        <w:pStyle w:val="ListParagraph"/>
        <w:numPr>
          <w:ilvl w:val="1"/>
          <w:numId w:val="46"/>
        </w:numPr>
        <w:spacing w:after="240"/>
        <w:jc w:val="both"/>
        <w:rPr>
          <w:rFonts w:ascii="Arial" w:hAnsi="Arial" w:cs="Arial"/>
        </w:rPr>
      </w:pPr>
      <w:r w:rsidRPr="00C17616">
        <w:rPr>
          <w:rFonts w:ascii="Arial" w:hAnsi="Arial" w:cs="Arial"/>
        </w:rPr>
        <w:t>Time and Effort reporting must be completed for all staff charged less than 100% to a specific funding source.</w:t>
      </w:r>
    </w:p>
    <w:p w14:paraId="772BA2CC" w14:textId="77777777" w:rsidR="00612E97" w:rsidRDefault="00612E97" w:rsidP="00C96EF3">
      <w:pPr>
        <w:pStyle w:val="ListParagraph"/>
        <w:numPr>
          <w:ilvl w:val="1"/>
          <w:numId w:val="46"/>
        </w:numPr>
        <w:spacing w:after="240"/>
        <w:jc w:val="both"/>
        <w:rPr>
          <w:rFonts w:ascii="Arial" w:hAnsi="Arial" w:cs="Arial"/>
        </w:rPr>
      </w:pPr>
      <w:r>
        <w:rPr>
          <w:rFonts w:ascii="Arial" w:hAnsi="Arial" w:cs="Arial"/>
        </w:rPr>
        <w:t xml:space="preserve">Timesheets must be completed for all staff charged to an ODH subgrant. </w:t>
      </w:r>
    </w:p>
    <w:p w14:paraId="60116484" w14:textId="77777777" w:rsidR="00612E97" w:rsidRDefault="00612E97" w:rsidP="00C96EF3">
      <w:pPr>
        <w:pStyle w:val="ListParagraph"/>
        <w:numPr>
          <w:ilvl w:val="1"/>
          <w:numId w:val="46"/>
        </w:numPr>
        <w:spacing w:after="240"/>
        <w:jc w:val="both"/>
        <w:rPr>
          <w:rFonts w:ascii="Arial" w:hAnsi="Arial" w:cs="Arial"/>
        </w:rPr>
      </w:pPr>
      <w:bookmarkStart w:id="25" w:name="_Hlk149807410"/>
      <w:r>
        <w:rPr>
          <w:rFonts w:ascii="Arial" w:hAnsi="Arial" w:cs="Arial"/>
        </w:rPr>
        <w:t>Contracts must contain the requirements outlined in the OGAPP manual.</w:t>
      </w:r>
    </w:p>
    <w:p w14:paraId="164A1843" w14:textId="77777777" w:rsidR="00612E97" w:rsidRPr="00C17616" w:rsidRDefault="00612E97" w:rsidP="00C96EF3">
      <w:pPr>
        <w:pStyle w:val="ListParagraph"/>
        <w:numPr>
          <w:ilvl w:val="1"/>
          <w:numId w:val="46"/>
        </w:numPr>
        <w:spacing w:after="240"/>
        <w:jc w:val="both"/>
        <w:rPr>
          <w:rFonts w:ascii="Arial" w:hAnsi="Arial" w:cs="Arial"/>
        </w:rPr>
      </w:pPr>
      <w:r>
        <w:rPr>
          <w:rFonts w:ascii="Arial" w:hAnsi="Arial" w:cs="Arial"/>
        </w:rPr>
        <w:t>Invoices must be maintained.</w:t>
      </w:r>
    </w:p>
    <w:bookmarkEnd w:id="25"/>
    <w:p w14:paraId="339182EE" w14:textId="77777777" w:rsidR="00612E97" w:rsidRPr="00C17616" w:rsidRDefault="00612E97" w:rsidP="00C96EF3">
      <w:pPr>
        <w:pStyle w:val="ListParagraph"/>
        <w:numPr>
          <w:ilvl w:val="1"/>
          <w:numId w:val="46"/>
        </w:numPr>
        <w:spacing w:after="240"/>
        <w:jc w:val="both"/>
        <w:rPr>
          <w:rFonts w:ascii="Arial" w:hAnsi="Arial" w:cs="Arial"/>
        </w:rPr>
      </w:pPr>
      <w:r w:rsidRPr="00C17616">
        <w:rPr>
          <w:rFonts w:ascii="Arial" w:hAnsi="Arial" w:cs="Arial"/>
        </w:rPr>
        <w:t>Program and fiscal monitoring will occur.</w:t>
      </w:r>
    </w:p>
    <w:p w14:paraId="7058ADF7" w14:textId="77777777" w:rsidR="00612E97" w:rsidRPr="00C17616" w:rsidRDefault="00612E97" w:rsidP="00612E97">
      <w:pPr>
        <w:spacing w:after="240"/>
        <w:jc w:val="both"/>
        <w:rPr>
          <w:rFonts w:ascii="Arial" w:hAnsi="Arial" w:cs="Arial"/>
          <w:b/>
          <w:bCs/>
        </w:rPr>
      </w:pPr>
      <w:r w:rsidRPr="00C17616">
        <w:rPr>
          <w:rFonts w:ascii="Arial" w:hAnsi="Arial" w:cs="Arial"/>
          <w:b/>
          <w:bCs/>
        </w:rPr>
        <w:t>Base and Deliverable Funding</w:t>
      </w:r>
    </w:p>
    <w:p w14:paraId="1516BDD7" w14:textId="77777777" w:rsidR="00612E97" w:rsidRDefault="00612E97" w:rsidP="00C96EF3">
      <w:pPr>
        <w:pStyle w:val="ListParagraph"/>
        <w:numPr>
          <w:ilvl w:val="0"/>
          <w:numId w:val="47"/>
        </w:numPr>
        <w:spacing w:after="240"/>
        <w:jc w:val="both"/>
        <w:rPr>
          <w:rFonts w:ascii="Arial" w:hAnsi="Arial" w:cs="Arial"/>
        </w:rPr>
      </w:pPr>
      <w:r w:rsidRPr="00C17616">
        <w:rPr>
          <w:rFonts w:ascii="Arial" w:hAnsi="Arial" w:cs="Arial"/>
        </w:rPr>
        <w:t>For base funding, refer to the base funding information listed above.</w:t>
      </w:r>
    </w:p>
    <w:p w14:paraId="247DA42B" w14:textId="77777777" w:rsidR="00612E97" w:rsidRDefault="00612E97" w:rsidP="00C96EF3">
      <w:pPr>
        <w:pStyle w:val="ListParagraph"/>
        <w:numPr>
          <w:ilvl w:val="0"/>
          <w:numId w:val="47"/>
        </w:numPr>
        <w:spacing w:after="240"/>
        <w:jc w:val="both"/>
        <w:rPr>
          <w:rFonts w:ascii="Arial" w:hAnsi="Arial" w:cs="Arial"/>
        </w:rPr>
      </w:pPr>
      <w:r w:rsidRPr="00C17616">
        <w:rPr>
          <w:rFonts w:ascii="Arial" w:hAnsi="Arial" w:cs="Arial"/>
        </w:rPr>
        <w:t>For deliverable funding, refer to the deliverable funding information listed below.</w:t>
      </w:r>
    </w:p>
    <w:p w14:paraId="030FCEE8" w14:textId="77777777" w:rsidR="00612E97" w:rsidRPr="00C032A4" w:rsidRDefault="00612E97" w:rsidP="00C96EF3">
      <w:pPr>
        <w:pStyle w:val="ListParagraph"/>
        <w:numPr>
          <w:ilvl w:val="0"/>
          <w:numId w:val="47"/>
        </w:numPr>
        <w:spacing w:after="240"/>
        <w:jc w:val="both"/>
        <w:rPr>
          <w:rFonts w:ascii="Arial" w:hAnsi="Arial" w:cs="Arial"/>
        </w:rPr>
      </w:pPr>
      <w:r w:rsidRPr="00C032A4">
        <w:rPr>
          <w:rFonts w:ascii="Arial" w:hAnsi="Arial" w:cs="Arial"/>
        </w:rPr>
        <w:t xml:space="preserve">Timesheets must be completed for all staff charged to an ODH subgrant. </w:t>
      </w:r>
    </w:p>
    <w:p w14:paraId="10814020" w14:textId="77777777" w:rsidR="00612E97" w:rsidRPr="006C3815" w:rsidRDefault="00612E97" w:rsidP="00C96EF3">
      <w:pPr>
        <w:pStyle w:val="ListParagraph"/>
        <w:numPr>
          <w:ilvl w:val="0"/>
          <w:numId w:val="47"/>
        </w:numPr>
        <w:spacing w:after="240"/>
        <w:jc w:val="both"/>
        <w:rPr>
          <w:rFonts w:ascii="Arial" w:hAnsi="Arial" w:cs="Arial"/>
        </w:rPr>
      </w:pPr>
      <w:r w:rsidRPr="006C3815">
        <w:rPr>
          <w:rFonts w:ascii="Arial" w:hAnsi="Arial" w:cs="Arial"/>
        </w:rPr>
        <w:t>Contracts must contain the requirements outlined in the OGAPP manual.</w:t>
      </w:r>
    </w:p>
    <w:p w14:paraId="4985B4B0" w14:textId="77777777" w:rsidR="00612E97" w:rsidRPr="006C3815" w:rsidRDefault="00612E97" w:rsidP="00C96EF3">
      <w:pPr>
        <w:pStyle w:val="ListParagraph"/>
        <w:numPr>
          <w:ilvl w:val="0"/>
          <w:numId w:val="47"/>
        </w:numPr>
        <w:spacing w:after="240"/>
        <w:jc w:val="both"/>
        <w:rPr>
          <w:rFonts w:ascii="Arial" w:hAnsi="Arial" w:cs="Arial"/>
        </w:rPr>
      </w:pPr>
      <w:r w:rsidRPr="006C3815">
        <w:rPr>
          <w:rFonts w:ascii="Arial" w:hAnsi="Arial" w:cs="Arial"/>
        </w:rPr>
        <w:lastRenderedPageBreak/>
        <w:t>Invoices must be maintained.</w:t>
      </w:r>
    </w:p>
    <w:p w14:paraId="2971A319" w14:textId="77777777" w:rsidR="00612E97" w:rsidRPr="008F69BA" w:rsidRDefault="00612E97" w:rsidP="00C96EF3">
      <w:pPr>
        <w:pStyle w:val="ListParagraph"/>
        <w:numPr>
          <w:ilvl w:val="0"/>
          <w:numId w:val="47"/>
        </w:numPr>
        <w:spacing w:after="240"/>
        <w:jc w:val="both"/>
        <w:rPr>
          <w:rFonts w:ascii="Arial" w:hAnsi="Arial" w:cs="Arial"/>
        </w:rPr>
      </w:pPr>
      <w:r w:rsidRPr="00C17616">
        <w:rPr>
          <w:rFonts w:ascii="Arial" w:hAnsi="Arial" w:cs="Arial"/>
        </w:rPr>
        <w:t xml:space="preserve">Subrecipients are required to complete Time and Effort reports </w:t>
      </w:r>
      <w:r>
        <w:rPr>
          <w:rFonts w:ascii="Arial" w:hAnsi="Arial" w:cs="Arial"/>
        </w:rPr>
        <w:t>for all staff charged less than 100% to a specific funding source</w:t>
      </w:r>
      <w:r w:rsidRPr="00C17616">
        <w:rPr>
          <w:rFonts w:ascii="Arial" w:hAnsi="Arial" w:cs="Arial"/>
        </w:rPr>
        <w:t>.</w:t>
      </w:r>
    </w:p>
    <w:p w14:paraId="078AC3C9" w14:textId="77777777" w:rsidR="00612E97" w:rsidRPr="00C17616" w:rsidRDefault="00612E97" w:rsidP="00612E97">
      <w:pPr>
        <w:spacing w:after="240"/>
        <w:jc w:val="both"/>
        <w:rPr>
          <w:rFonts w:ascii="Arial" w:hAnsi="Arial" w:cs="Arial"/>
          <w:b/>
          <w:bCs/>
        </w:rPr>
      </w:pPr>
      <w:r w:rsidRPr="00C17616">
        <w:rPr>
          <w:rFonts w:ascii="Arial" w:hAnsi="Arial" w:cs="Arial"/>
          <w:b/>
          <w:bCs/>
        </w:rPr>
        <w:t>100% Deliverable Funding</w:t>
      </w:r>
    </w:p>
    <w:p w14:paraId="7185B75B"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 xml:space="preserve">Subrecipients </w:t>
      </w:r>
      <w:r>
        <w:rPr>
          <w:rFonts w:ascii="Arial" w:hAnsi="Arial" w:cs="Arial"/>
        </w:rPr>
        <w:t>must complete</w:t>
      </w:r>
      <w:r w:rsidRPr="00C17616">
        <w:rPr>
          <w:rFonts w:ascii="Arial" w:hAnsi="Arial" w:cs="Arial"/>
        </w:rPr>
        <w:t xml:space="preserve"> Time and Effort reports</w:t>
      </w:r>
      <w:r>
        <w:rPr>
          <w:rFonts w:ascii="Arial" w:hAnsi="Arial" w:cs="Arial"/>
        </w:rPr>
        <w:t xml:space="preserve"> for all staff charged less than 100% to</w:t>
      </w:r>
      <w:r w:rsidRPr="00C17616">
        <w:rPr>
          <w:rFonts w:ascii="Arial" w:hAnsi="Arial" w:cs="Arial"/>
        </w:rPr>
        <w:t xml:space="preserve"> deliverable funding.</w:t>
      </w:r>
    </w:p>
    <w:p w14:paraId="31D806E2" w14:textId="77777777" w:rsidR="00612E97" w:rsidRPr="00C032A4" w:rsidRDefault="00612E97" w:rsidP="00C96EF3">
      <w:pPr>
        <w:pStyle w:val="ListParagraph"/>
        <w:numPr>
          <w:ilvl w:val="0"/>
          <w:numId w:val="48"/>
        </w:numPr>
        <w:spacing w:after="240"/>
        <w:jc w:val="both"/>
        <w:rPr>
          <w:rFonts w:ascii="Arial" w:hAnsi="Arial" w:cs="Arial"/>
        </w:rPr>
      </w:pPr>
      <w:r w:rsidRPr="00C032A4">
        <w:rPr>
          <w:rFonts w:ascii="Arial" w:hAnsi="Arial" w:cs="Arial"/>
        </w:rPr>
        <w:t xml:space="preserve">Timesheets must be completed for all staff charged to an ODH subgrant. </w:t>
      </w:r>
    </w:p>
    <w:p w14:paraId="478CEA70" w14:textId="77777777" w:rsidR="00612E97" w:rsidRPr="006C3815" w:rsidRDefault="00612E97" w:rsidP="00C96EF3">
      <w:pPr>
        <w:pStyle w:val="ListParagraph"/>
        <w:numPr>
          <w:ilvl w:val="0"/>
          <w:numId w:val="48"/>
        </w:numPr>
        <w:spacing w:after="240"/>
        <w:jc w:val="both"/>
        <w:rPr>
          <w:rFonts w:ascii="Arial" w:hAnsi="Arial" w:cs="Arial"/>
        </w:rPr>
      </w:pPr>
      <w:r w:rsidRPr="006C3815">
        <w:rPr>
          <w:rFonts w:ascii="Arial" w:hAnsi="Arial" w:cs="Arial"/>
        </w:rPr>
        <w:t>Contracts must contain the requirements outlined in the OGAPP manual.</w:t>
      </w:r>
    </w:p>
    <w:p w14:paraId="040A9878" w14:textId="77777777" w:rsidR="00612E97" w:rsidRPr="006C3815" w:rsidRDefault="00612E97" w:rsidP="00C96EF3">
      <w:pPr>
        <w:pStyle w:val="ListParagraph"/>
        <w:numPr>
          <w:ilvl w:val="0"/>
          <w:numId w:val="48"/>
        </w:numPr>
        <w:spacing w:after="240"/>
        <w:jc w:val="both"/>
        <w:rPr>
          <w:rFonts w:ascii="Arial" w:hAnsi="Arial" w:cs="Arial"/>
        </w:rPr>
      </w:pPr>
      <w:r w:rsidRPr="006C3815">
        <w:rPr>
          <w:rFonts w:ascii="Arial" w:hAnsi="Arial" w:cs="Arial"/>
        </w:rPr>
        <w:t>Invoices must be maintained.</w:t>
      </w:r>
    </w:p>
    <w:p w14:paraId="2587D58A"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ODH will reimburse subrecipients for the successful completion of a deliverable.</w:t>
      </w:r>
    </w:p>
    <w:p w14:paraId="6717CD79"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Subrecipients will not be reimbursed if the deliverable is not successfully met by the timeline set</w:t>
      </w:r>
      <w:r>
        <w:rPr>
          <w:rFonts w:ascii="Arial" w:hAnsi="Arial" w:cs="Arial"/>
        </w:rPr>
        <w:t xml:space="preserve"> </w:t>
      </w:r>
      <w:r w:rsidRPr="00C17616">
        <w:rPr>
          <w:rFonts w:ascii="Arial" w:hAnsi="Arial" w:cs="Arial"/>
        </w:rPr>
        <w:t>forth in the solicitation.</w:t>
      </w:r>
    </w:p>
    <w:p w14:paraId="17327998"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Subrecipients cannot use budget leverage to move money between deliverable line items. Any</w:t>
      </w:r>
      <w:r>
        <w:rPr>
          <w:rFonts w:ascii="Arial" w:hAnsi="Arial" w:cs="Arial"/>
        </w:rPr>
        <w:t xml:space="preserve"> </w:t>
      </w:r>
      <w:r w:rsidRPr="00C17616">
        <w:rPr>
          <w:rFonts w:ascii="Arial" w:hAnsi="Arial" w:cs="Arial"/>
        </w:rPr>
        <w:t>movement of funding must be pre-approved by program staff prior to the submission of a budget</w:t>
      </w:r>
      <w:r>
        <w:rPr>
          <w:rFonts w:ascii="Arial" w:hAnsi="Arial" w:cs="Arial"/>
        </w:rPr>
        <w:t xml:space="preserve"> </w:t>
      </w:r>
      <w:r w:rsidRPr="00C17616">
        <w:rPr>
          <w:rFonts w:ascii="Arial" w:hAnsi="Arial" w:cs="Arial"/>
        </w:rPr>
        <w:t>revision. Deliverable costs to the project shall not exceed the amount in the approved budget.</w:t>
      </w:r>
    </w:p>
    <w:p w14:paraId="066F7F82"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Indirect costs cannot be charged against a deliverable line item.</w:t>
      </w:r>
    </w:p>
    <w:p w14:paraId="7E7B560B"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Subrecipients must be able to properly account for all revenue received from ODH and can tie the</w:t>
      </w:r>
      <w:r>
        <w:rPr>
          <w:rFonts w:ascii="Arial" w:hAnsi="Arial" w:cs="Arial"/>
        </w:rPr>
        <w:t xml:space="preserve"> </w:t>
      </w:r>
      <w:r w:rsidRPr="00C17616">
        <w:rPr>
          <w:rFonts w:ascii="Arial" w:hAnsi="Arial" w:cs="Arial"/>
        </w:rPr>
        <w:t>revenue back to each subgrant program. Agencies are not required to have separate accounts</w:t>
      </w:r>
      <w:r>
        <w:rPr>
          <w:rFonts w:ascii="Arial" w:hAnsi="Arial" w:cs="Arial"/>
        </w:rPr>
        <w:t xml:space="preserve"> for each subgrant program but it is encouraged</w:t>
      </w:r>
      <w:r w:rsidRPr="00C17616">
        <w:rPr>
          <w:rFonts w:ascii="Arial" w:hAnsi="Arial" w:cs="Arial"/>
        </w:rPr>
        <w:t>. If a</w:t>
      </w:r>
      <w:r>
        <w:rPr>
          <w:rFonts w:ascii="Arial" w:hAnsi="Arial" w:cs="Arial"/>
        </w:rPr>
        <w:t xml:space="preserve"> </w:t>
      </w:r>
      <w:r w:rsidRPr="00C17616">
        <w:rPr>
          <w:rFonts w:ascii="Arial" w:hAnsi="Arial" w:cs="Arial"/>
        </w:rPr>
        <w:t>subrecipients does not have a separate account, a unique identifier must be established to identify</w:t>
      </w:r>
      <w:r>
        <w:rPr>
          <w:rFonts w:ascii="Arial" w:hAnsi="Arial" w:cs="Arial"/>
        </w:rPr>
        <w:t xml:space="preserve"> </w:t>
      </w:r>
      <w:r w:rsidRPr="00C17616">
        <w:rPr>
          <w:rFonts w:ascii="Arial" w:hAnsi="Arial" w:cs="Arial"/>
        </w:rPr>
        <w:t>each subgrant program.</w:t>
      </w:r>
    </w:p>
    <w:p w14:paraId="5CA0F08F"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Payments for deliverables are based on the deliverable payment schedule, the subrecipients</w:t>
      </w:r>
      <w:r>
        <w:rPr>
          <w:rFonts w:ascii="Arial" w:hAnsi="Arial" w:cs="Arial"/>
        </w:rPr>
        <w:t xml:space="preserve"> </w:t>
      </w:r>
      <w:r w:rsidRPr="00C17616">
        <w:rPr>
          <w:rFonts w:ascii="Arial" w:hAnsi="Arial" w:cs="Arial"/>
        </w:rPr>
        <w:t>completion of each deliverable and ODH’s validation of the completion.</w:t>
      </w:r>
    </w:p>
    <w:p w14:paraId="253994DD"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The automatic payment for subrecipients who request costs more than 2 times for unmet</w:t>
      </w:r>
      <w:r>
        <w:rPr>
          <w:rFonts w:ascii="Arial" w:hAnsi="Arial" w:cs="Arial"/>
        </w:rPr>
        <w:t xml:space="preserve"> </w:t>
      </w:r>
      <w:r w:rsidRPr="00C17616">
        <w:rPr>
          <w:rFonts w:ascii="Arial" w:hAnsi="Arial" w:cs="Arial"/>
        </w:rPr>
        <w:t>deliverables will be removed.</w:t>
      </w:r>
    </w:p>
    <w:p w14:paraId="2D109FE1"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Deliverable-based subgrant programs match</w:t>
      </w:r>
      <w:r>
        <w:rPr>
          <w:rFonts w:ascii="Arial" w:hAnsi="Arial" w:cs="Arial"/>
        </w:rPr>
        <w:t xml:space="preserve"> or project income</w:t>
      </w:r>
      <w:r w:rsidRPr="00C17616">
        <w:rPr>
          <w:rFonts w:ascii="Arial" w:hAnsi="Arial" w:cs="Arial"/>
        </w:rPr>
        <w:t xml:space="preserve"> will not be reported on the expenditure reports in</w:t>
      </w:r>
      <w:r>
        <w:rPr>
          <w:rFonts w:ascii="Arial" w:hAnsi="Arial" w:cs="Arial"/>
        </w:rPr>
        <w:t xml:space="preserve"> </w:t>
      </w:r>
      <w:r w:rsidRPr="00C17616">
        <w:rPr>
          <w:rFonts w:ascii="Arial" w:hAnsi="Arial" w:cs="Arial"/>
        </w:rPr>
        <w:t>GMIS. A match</w:t>
      </w:r>
      <w:r>
        <w:rPr>
          <w:rFonts w:ascii="Arial" w:hAnsi="Arial" w:cs="Arial"/>
        </w:rPr>
        <w:t xml:space="preserve"> or project income</w:t>
      </w:r>
      <w:r w:rsidRPr="00C17616">
        <w:rPr>
          <w:rFonts w:ascii="Arial" w:hAnsi="Arial" w:cs="Arial"/>
        </w:rPr>
        <w:t xml:space="preserve"> reporting form will be provided and must be attached in GMIS with the submission</w:t>
      </w:r>
      <w:r>
        <w:rPr>
          <w:rFonts w:ascii="Arial" w:hAnsi="Arial" w:cs="Arial"/>
        </w:rPr>
        <w:t xml:space="preserve"> </w:t>
      </w:r>
      <w:r w:rsidRPr="00C17616">
        <w:rPr>
          <w:rFonts w:ascii="Arial" w:hAnsi="Arial" w:cs="Arial"/>
        </w:rPr>
        <w:t>of the monthly or quarterly expenditure report.</w:t>
      </w:r>
    </w:p>
    <w:p w14:paraId="71D23A0D"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Subrecipients are not required to provide a copy of contracts established to complete deliverables.</w:t>
      </w:r>
      <w:r>
        <w:rPr>
          <w:rFonts w:ascii="Arial" w:hAnsi="Arial" w:cs="Arial"/>
        </w:rPr>
        <w:t xml:space="preserve">  Subrecipients are required to maintain a copy of the contract that contains the contract requirements outlined in OGAPP.</w:t>
      </w:r>
    </w:p>
    <w:p w14:paraId="2909F138" w14:textId="77777777" w:rsidR="00612E97" w:rsidRDefault="00612E97" w:rsidP="00C96EF3">
      <w:pPr>
        <w:pStyle w:val="ListParagraph"/>
        <w:numPr>
          <w:ilvl w:val="0"/>
          <w:numId w:val="48"/>
        </w:numPr>
        <w:spacing w:after="240"/>
        <w:jc w:val="both"/>
        <w:rPr>
          <w:rFonts w:ascii="Arial" w:hAnsi="Arial" w:cs="Arial"/>
        </w:rPr>
      </w:pPr>
      <w:r w:rsidRPr="00C17616">
        <w:rPr>
          <w:rFonts w:ascii="Arial" w:hAnsi="Arial" w:cs="Arial"/>
        </w:rPr>
        <w:t>Subrecipients must follow their internal policies and procedures.</w:t>
      </w:r>
    </w:p>
    <w:p w14:paraId="7D77CBC7" w14:textId="77777777" w:rsidR="00612E97" w:rsidRPr="00C17616" w:rsidRDefault="00612E97" w:rsidP="00C96EF3">
      <w:pPr>
        <w:pStyle w:val="ListParagraph"/>
        <w:numPr>
          <w:ilvl w:val="0"/>
          <w:numId w:val="48"/>
        </w:numPr>
        <w:spacing w:after="240"/>
        <w:jc w:val="both"/>
        <w:rPr>
          <w:rFonts w:ascii="Arial" w:hAnsi="Arial" w:cs="Arial"/>
        </w:rPr>
      </w:pPr>
      <w:r w:rsidRPr="00C17616">
        <w:rPr>
          <w:rFonts w:ascii="Arial" w:hAnsi="Arial" w:cs="Arial"/>
        </w:rPr>
        <w:t>Subgrant programs may vary. Subrecipients should thoroughly review the solicitation for any</w:t>
      </w:r>
      <w:r>
        <w:rPr>
          <w:rFonts w:ascii="Arial" w:hAnsi="Arial" w:cs="Arial"/>
        </w:rPr>
        <w:t xml:space="preserve"> </w:t>
      </w:r>
      <w:r w:rsidRPr="00C17616">
        <w:rPr>
          <w:rFonts w:ascii="Arial" w:hAnsi="Arial" w:cs="Arial"/>
        </w:rPr>
        <w:t>program specific deliverable requirements.</w:t>
      </w:r>
    </w:p>
    <w:p w14:paraId="77D19AB5" w14:textId="77777777" w:rsidR="00612E97" w:rsidRPr="00B470E4" w:rsidRDefault="00612E97" w:rsidP="00612E97">
      <w:pPr>
        <w:autoSpaceDE w:val="0"/>
        <w:autoSpaceDN w:val="0"/>
        <w:adjustRightInd w:val="0"/>
        <w:spacing w:after="240"/>
        <w:jc w:val="both"/>
        <w:rPr>
          <w:rFonts w:ascii="Arial" w:hAnsi="Arial" w:cs="Arial"/>
          <w:b/>
          <w:bCs/>
        </w:rPr>
      </w:pPr>
      <w:r w:rsidRPr="00B470E4">
        <w:rPr>
          <w:rFonts w:ascii="Arial" w:hAnsi="Arial" w:cs="Arial"/>
          <w:b/>
          <w:bCs/>
        </w:rPr>
        <w:t>B1.0 Conditions of a Subrecipient</w:t>
      </w:r>
    </w:p>
    <w:p w14:paraId="3F29170D"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lastRenderedPageBreak/>
        <w:t>No applicant shall be funded if the terms and conditions of the Solicitation (formerly known as Request for Proposal) have not been met by the submission due date of the application.</w:t>
      </w:r>
    </w:p>
    <w:p w14:paraId="26662CF5"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Enforcement of the OGAPP begins when the application is submitted. Before the Director of Health can approve an applicant for funding, the applicant must meet the following criteria:</w:t>
      </w:r>
    </w:p>
    <w:p w14:paraId="38D787AC" w14:textId="77777777" w:rsidR="00612E97" w:rsidRPr="008F69BA" w:rsidRDefault="00612E97" w:rsidP="00C96EF3">
      <w:pPr>
        <w:pStyle w:val="ListParagraph"/>
        <w:numPr>
          <w:ilvl w:val="0"/>
          <w:numId w:val="49"/>
        </w:numPr>
        <w:spacing w:after="240"/>
        <w:jc w:val="both"/>
        <w:rPr>
          <w:rFonts w:ascii="Arial" w:hAnsi="Arial" w:cs="Arial"/>
          <w:bCs/>
        </w:rPr>
      </w:pPr>
      <w:r w:rsidRPr="008F69BA">
        <w:rPr>
          <w:rFonts w:ascii="Arial" w:hAnsi="Arial" w:cs="Arial"/>
          <w:bCs/>
        </w:rPr>
        <w:t>Applicant must prove eligibility as a qualifying organization (i.e. the applicant must be a local government, hospital, educational institution, or non-profit corporation).</w:t>
      </w:r>
    </w:p>
    <w:p w14:paraId="3F7CB510" w14:textId="77777777" w:rsidR="00612E97" w:rsidRPr="008F69BA" w:rsidRDefault="00612E97" w:rsidP="00C96EF3">
      <w:pPr>
        <w:pStyle w:val="ListParagraph"/>
        <w:numPr>
          <w:ilvl w:val="0"/>
          <w:numId w:val="49"/>
        </w:numPr>
        <w:spacing w:after="240"/>
        <w:jc w:val="both"/>
        <w:rPr>
          <w:rFonts w:ascii="Arial" w:hAnsi="Arial" w:cs="Arial"/>
          <w:bCs/>
        </w:rPr>
      </w:pPr>
      <w:r w:rsidRPr="008F69BA">
        <w:rPr>
          <w:rFonts w:ascii="Arial" w:hAnsi="Arial" w:cs="Arial"/>
          <w:bCs/>
        </w:rPr>
        <w:t>Applicant must submit all required assurances. The assurances shall be current and have been signed by the applicant in the calendar year of application. The assurances shall be accurate. Any assurance found by an audit to be untrue shall cause immediate suspension of funds with an obligation to return any funds disbursed. Any costs incurred shall be the responsibility of the applicant. Assurances for non-governmental agencies shall include evidence of the appropriate liability insurance coverage.</w:t>
      </w:r>
    </w:p>
    <w:p w14:paraId="2E3B1003" w14:textId="77777777" w:rsidR="00612E97" w:rsidRPr="008F69BA" w:rsidRDefault="00612E97" w:rsidP="00C96EF3">
      <w:pPr>
        <w:pStyle w:val="ListParagraph"/>
        <w:numPr>
          <w:ilvl w:val="0"/>
          <w:numId w:val="49"/>
        </w:numPr>
        <w:spacing w:after="240"/>
        <w:jc w:val="both"/>
        <w:rPr>
          <w:rFonts w:ascii="Arial" w:hAnsi="Arial" w:cs="Arial"/>
          <w:bCs/>
        </w:rPr>
      </w:pPr>
      <w:r w:rsidRPr="008F69BA">
        <w:rPr>
          <w:rFonts w:ascii="Arial" w:hAnsi="Arial" w:cs="Arial"/>
          <w:bCs/>
        </w:rPr>
        <w:t>Applicant must show capacity to achieve program and fiscal objectives. Letters of support, if required, shall be signed in the current fiscal year and be specific to the subrecipient project objectives.</w:t>
      </w:r>
    </w:p>
    <w:p w14:paraId="2AE21DD4" w14:textId="77777777" w:rsidR="00612E97" w:rsidRPr="008F69BA" w:rsidRDefault="00612E97" w:rsidP="00C96EF3">
      <w:pPr>
        <w:pStyle w:val="ListParagraph"/>
        <w:numPr>
          <w:ilvl w:val="0"/>
          <w:numId w:val="49"/>
        </w:numPr>
        <w:spacing w:after="240"/>
        <w:jc w:val="both"/>
        <w:rPr>
          <w:rFonts w:ascii="Arial" w:hAnsi="Arial" w:cs="Arial"/>
          <w:bCs/>
        </w:rPr>
      </w:pPr>
      <w:r w:rsidRPr="008F69BA">
        <w:rPr>
          <w:rFonts w:ascii="Arial" w:hAnsi="Arial" w:cs="Arial"/>
          <w:bCs/>
        </w:rPr>
        <w:t>Applicant must demonstrate the ability and willingness to comply with ALL applicable federal and state laws, regulations, and policies.</w:t>
      </w:r>
    </w:p>
    <w:p w14:paraId="3F9F2695"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Conditional funding shall apply only to item #3 above. Applicants with deficiencies related to items 1, 2, and 4 may not be funded.</w:t>
      </w:r>
    </w:p>
    <w:p w14:paraId="5797F06E" w14:textId="77777777" w:rsidR="00612E97" w:rsidRPr="00B470E4" w:rsidRDefault="00612E97" w:rsidP="00612E97">
      <w:pPr>
        <w:autoSpaceDE w:val="0"/>
        <w:autoSpaceDN w:val="0"/>
        <w:adjustRightInd w:val="0"/>
        <w:spacing w:after="240"/>
        <w:jc w:val="both"/>
        <w:rPr>
          <w:rFonts w:ascii="Arial" w:hAnsi="Arial" w:cs="Arial"/>
          <w:b/>
          <w:bCs/>
        </w:rPr>
      </w:pPr>
      <w:r w:rsidRPr="00B470E4">
        <w:rPr>
          <w:rFonts w:ascii="Arial" w:hAnsi="Arial" w:cs="Arial"/>
          <w:b/>
          <w:bCs/>
        </w:rPr>
        <w:t>B1.2 Public Health Accreditation Board (PHAB) Standards</w:t>
      </w:r>
    </w:p>
    <w:p w14:paraId="7AEF7EAE"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 xml:space="preserve">The current Public Health Standards, </w:t>
      </w:r>
      <w:hyperlink r:id="rId33" w:history="1">
        <w:r w:rsidRPr="00B470E4">
          <w:rPr>
            <w:rStyle w:val="Hyperlink"/>
            <w:rFonts w:cs="Arial"/>
            <w:bCs/>
          </w:rPr>
          <w:t>Ohio Administrative Code 3701-36</w:t>
        </w:r>
      </w:hyperlink>
      <w:r w:rsidRPr="00B470E4">
        <w:rPr>
          <w:rFonts w:ascii="Arial" w:hAnsi="Arial" w:cs="Arial"/>
          <w:bCs/>
        </w:rPr>
        <w:t xml:space="preserve"> (reference </w:t>
      </w:r>
      <w:hyperlink r:id="rId34" w:history="1">
        <w:r w:rsidRPr="00B470E4">
          <w:rPr>
            <w:rStyle w:val="Hyperlink"/>
            <w:rFonts w:cs="Arial"/>
            <w:bCs/>
          </w:rPr>
          <w:t>Ohio Revised Code 3701.342),</w:t>
        </w:r>
      </w:hyperlink>
      <w:r w:rsidRPr="00B470E4">
        <w:rPr>
          <w:rFonts w:ascii="Arial" w:hAnsi="Arial" w:cs="Arial"/>
          <w:bCs/>
        </w:rPr>
        <w:t xml:space="preserve"> became effective in 1984.</w:t>
      </w:r>
    </w:p>
    <w:p w14:paraId="50DBC76E" w14:textId="77777777" w:rsidR="00612E97" w:rsidRPr="00B470E4" w:rsidRDefault="00612E97" w:rsidP="00612E97">
      <w:pPr>
        <w:autoSpaceDE w:val="0"/>
        <w:autoSpaceDN w:val="0"/>
        <w:adjustRightInd w:val="0"/>
        <w:spacing w:after="240"/>
        <w:jc w:val="both"/>
        <w:rPr>
          <w:rFonts w:ascii="Arial" w:hAnsi="Arial" w:cs="Arial"/>
          <w:bCs/>
        </w:rPr>
      </w:pPr>
      <w:r w:rsidRPr="00B470E4">
        <w:rPr>
          <w:rFonts w:ascii="Arial" w:hAnsi="Arial" w:cs="Arial"/>
          <w:bCs/>
        </w:rPr>
        <w:t xml:space="preserve">Program-specific Solicitations will identify the Public Health Accreditation Board (PHAB) standards that will be addressed by the grant activities. More information on the PHAB standards can be found at </w:t>
      </w:r>
      <w:hyperlink r:id="rId35" w:history="1">
        <w:r w:rsidRPr="00B470E4">
          <w:rPr>
            <w:rStyle w:val="Hyperlink"/>
            <w:rFonts w:cs="Arial"/>
          </w:rPr>
          <w:t>http://www.phaboard.org</w:t>
        </w:r>
      </w:hyperlink>
      <w:r w:rsidRPr="00B470E4">
        <w:rPr>
          <w:rFonts w:ascii="Arial" w:hAnsi="Arial" w:cs="Arial"/>
          <w:bCs/>
        </w:rPr>
        <w:t>.</w:t>
      </w:r>
    </w:p>
    <w:p w14:paraId="4F832EBB" w14:textId="4259E772" w:rsidR="003644ED" w:rsidRPr="00F00D94" w:rsidRDefault="00612E97" w:rsidP="00612E97">
      <w:pPr>
        <w:autoSpaceDE w:val="0"/>
        <w:autoSpaceDN w:val="0"/>
        <w:adjustRightInd w:val="0"/>
        <w:spacing w:after="240"/>
        <w:jc w:val="both"/>
        <w:rPr>
          <w:rFonts w:ascii="Arial" w:hAnsi="Arial" w:cs="Arial"/>
        </w:rPr>
      </w:pPr>
      <w:r w:rsidRPr="00B470E4">
        <w:rPr>
          <w:rFonts w:ascii="Arial" w:hAnsi="Arial" w:cs="Arial"/>
          <w:i/>
        </w:rPr>
        <w:t>(Source: OGA</w:t>
      </w:r>
      <w:r>
        <w:rPr>
          <w:rFonts w:ascii="Arial" w:hAnsi="Arial" w:cs="Arial"/>
          <w:i/>
        </w:rPr>
        <w:t>P</w:t>
      </w:r>
      <w:r w:rsidRPr="00B470E4">
        <w:rPr>
          <w:rFonts w:ascii="Arial" w:hAnsi="Arial" w:cs="Arial"/>
          <w:i/>
        </w:rPr>
        <w:t xml:space="preserve">P Manual, Updated December </w:t>
      </w:r>
      <w:r w:rsidR="002F03F5" w:rsidRPr="002F03F5">
        <w:rPr>
          <w:rFonts w:ascii="Arial" w:hAnsi="Arial" w:cs="Arial"/>
          <w:i/>
        </w:rPr>
        <w:t>2017 and Amadou Diallo, Chief Fiscal Officer, Ohio Department of Health Office of Financial Affairs</w:t>
      </w:r>
      <w:r w:rsidRPr="00B470E4">
        <w:rPr>
          <w:rFonts w:ascii="Arial" w:hAnsi="Arial" w:cs="Arial"/>
          <w:i/>
        </w:rPr>
        <w:t xml:space="preserve">) </w:t>
      </w:r>
      <w:bookmarkStart w:id="26" w:name="TMB521530370"/>
      <w:bookmarkEnd w:id="26"/>
    </w:p>
    <w:p w14:paraId="76A49AA4" w14:textId="77777777" w:rsidR="003644ED" w:rsidRPr="00A0464C" w:rsidRDefault="003644ED" w:rsidP="006672EA">
      <w:pPr>
        <w:pStyle w:val="Heading3"/>
        <w:jc w:val="both"/>
        <w:rPr>
          <w:rFonts w:cs="Arial"/>
          <w:sz w:val="24"/>
          <w:szCs w:val="24"/>
        </w:rPr>
      </w:pPr>
      <w:bookmarkStart w:id="27" w:name="_Toc188606057"/>
      <w:r w:rsidRPr="00A0464C">
        <w:rPr>
          <w:rFonts w:cs="Arial"/>
          <w:sz w:val="24"/>
          <w:szCs w:val="24"/>
        </w:rPr>
        <w:t>Reporting</w:t>
      </w:r>
      <w:bookmarkEnd w:id="27"/>
    </w:p>
    <w:p w14:paraId="098F526F" w14:textId="3DE1E071"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8" w:name="_Toc442267685"/>
      <w:bookmarkStart w:id="29" w:name="_Toc18860605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8"/>
      <w:bookmarkEnd w:id="29"/>
    </w:p>
    <w:p w14:paraId="5009BB8E" w14:textId="77777777" w:rsidR="007E5B12" w:rsidRPr="00A0464C" w:rsidRDefault="007E5B12" w:rsidP="006672EA">
      <w:pPr>
        <w:pStyle w:val="Heading2"/>
        <w:jc w:val="both"/>
        <w:rPr>
          <w:rFonts w:cs="Arial"/>
          <w:sz w:val="24"/>
        </w:rPr>
      </w:pPr>
      <w:bookmarkStart w:id="30" w:name="_Toc442267686"/>
      <w:bookmarkStart w:id="31" w:name="_Toc188606059"/>
      <w:r w:rsidRPr="00A0464C">
        <w:rPr>
          <w:rFonts w:cs="Arial"/>
          <w:sz w:val="24"/>
        </w:rPr>
        <w:t>A.  ACTIVITIES ALLOWED OR UNALLOWED</w:t>
      </w:r>
      <w:bookmarkEnd w:id="30"/>
      <w:bookmarkEnd w:id="31"/>
    </w:p>
    <w:p w14:paraId="15499E2F" w14:textId="3214755D" w:rsidR="007E5B12" w:rsidRPr="00A0464C" w:rsidRDefault="006A15E5" w:rsidP="006672EA">
      <w:pPr>
        <w:pStyle w:val="Heading3"/>
        <w:jc w:val="both"/>
        <w:rPr>
          <w:rFonts w:cs="Arial"/>
          <w:sz w:val="24"/>
          <w:szCs w:val="24"/>
        </w:rPr>
      </w:pPr>
      <w:bookmarkStart w:id="32" w:name="_Toc442267687"/>
      <w:bookmarkStart w:id="33" w:name="_Toc188606060"/>
      <w:r w:rsidRPr="00A0464C">
        <w:rPr>
          <w:rFonts w:cs="Arial"/>
          <w:sz w:val="24"/>
          <w:szCs w:val="24"/>
        </w:rPr>
        <w:t xml:space="preserve">OMB </w:t>
      </w:r>
      <w:r w:rsidR="007E5B12" w:rsidRPr="00A0464C">
        <w:rPr>
          <w:rFonts w:cs="Arial"/>
          <w:sz w:val="24"/>
          <w:szCs w:val="24"/>
        </w:rPr>
        <w:t>Compliance Requirements</w:t>
      </w:r>
      <w:bookmarkEnd w:id="32"/>
      <w:bookmarkEnd w:id="3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B557979" w14:textId="3D2575C8" w:rsidR="00C96EF3" w:rsidRPr="00C96EF3" w:rsidRDefault="00C96EF3" w:rsidP="00C96EF3">
      <w:pPr>
        <w:pStyle w:val="ListParagraph"/>
        <w:numPr>
          <w:ilvl w:val="0"/>
          <w:numId w:val="68"/>
        </w:numPr>
        <w:spacing w:after="240"/>
        <w:jc w:val="both"/>
        <w:rPr>
          <w:rFonts w:ascii="Arial" w:hAnsi="Arial" w:cs="Arial"/>
          <w:bCs/>
          <w:i/>
          <w:iCs/>
        </w:rPr>
      </w:pPr>
      <w:r w:rsidRPr="00C96EF3">
        <w:rPr>
          <w:rFonts w:ascii="Arial" w:hAnsi="Arial" w:cs="Arial"/>
          <w:bCs/>
          <w:i/>
          <w:iCs/>
        </w:rPr>
        <w:t>General Rule</w:t>
      </w:r>
    </w:p>
    <w:p w14:paraId="75731B8A" w14:textId="39889E02" w:rsidR="00C96EF3" w:rsidRPr="00C96EF3" w:rsidRDefault="00C96EF3" w:rsidP="00C96EF3">
      <w:pPr>
        <w:pStyle w:val="ListParagraph"/>
        <w:numPr>
          <w:ilvl w:val="0"/>
          <w:numId w:val="69"/>
        </w:numPr>
        <w:tabs>
          <w:tab w:val="right" w:leader="dot" w:pos="9360"/>
        </w:tabs>
        <w:spacing w:after="240"/>
        <w:jc w:val="both"/>
        <w:rPr>
          <w:rFonts w:ascii="Arial" w:hAnsi="Arial" w:cs="Arial"/>
          <w:bCs/>
          <w:iCs/>
        </w:rPr>
      </w:pPr>
      <w:r w:rsidRPr="00C96EF3">
        <w:rPr>
          <w:rFonts w:ascii="Arial" w:hAnsi="Arial" w:cs="Arial"/>
          <w:bCs/>
          <w:iCs/>
        </w:rPr>
        <w:t>Funds allocated to a state agency for food must be expended to purchase supplemental foods for participants or to redeem FIs or CVVs issued for that purpose. When supplemental foods are provided to participants via direct distribution, the related warehouse facilities costs shall be allowable food costs. Food funds can also be used to purchase breast pumps for participants (7 CFR sections 246.14(a) and (b)). Federal program funds may not be used to pay for retroactive benefits to participants (7 CFR section 246.14(a)(2)).</w:t>
      </w:r>
    </w:p>
    <w:p w14:paraId="2B946D5F" w14:textId="442CB22F" w:rsidR="00C96EF3" w:rsidRPr="00C96EF3" w:rsidRDefault="00C96EF3" w:rsidP="00C96EF3">
      <w:pPr>
        <w:pStyle w:val="ListParagraph"/>
        <w:numPr>
          <w:ilvl w:val="0"/>
          <w:numId w:val="69"/>
        </w:numPr>
        <w:tabs>
          <w:tab w:val="right" w:leader="dot" w:pos="9360"/>
        </w:tabs>
        <w:spacing w:after="240"/>
        <w:jc w:val="both"/>
        <w:rPr>
          <w:rFonts w:ascii="Arial" w:hAnsi="Arial" w:cs="Arial"/>
          <w:bCs/>
          <w:iCs/>
        </w:rPr>
      </w:pPr>
      <w:r w:rsidRPr="00C96EF3">
        <w:rPr>
          <w:rFonts w:ascii="Arial" w:hAnsi="Arial" w:cs="Arial"/>
          <w:bCs/>
          <w:iCs/>
        </w:rPr>
        <w:t>Funds allocated for NSA must be used for the costs incurred by the state or local agency to provide participants with nutrition education, breastfeeding promotion and support, and referrals to other social and medical service providers; and to conduct participant certification, caseload management, food benefit delivery, vendor management, voter registration, and program management (42 USC 1786(h)(1)(C)(ii); 7 CFR sections 246.14(c) and (d)).</w:t>
      </w:r>
    </w:p>
    <w:p w14:paraId="13FC3220" w14:textId="6C8AA17B" w:rsidR="00C96EF3" w:rsidRPr="00C96EF3" w:rsidRDefault="00C96EF3" w:rsidP="00C96EF3">
      <w:pPr>
        <w:pStyle w:val="ListParagraph"/>
        <w:numPr>
          <w:ilvl w:val="0"/>
          <w:numId w:val="68"/>
        </w:numPr>
        <w:spacing w:after="240"/>
        <w:jc w:val="both"/>
        <w:rPr>
          <w:rFonts w:ascii="Arial" w:hAnsi="Arial" w:cs="Arial"/>
          <w:bCs/>
          <w:i/>
          <w:iCs/>
        </w:rPr>
      </w:pPr>
      <w:r w:rsidRPr="00C96EF3">
        <w:rPr>
          <w:rFonts w:ascii="Arial" w:hAnsi="Arial" w:cs="Arial"/>
          <w:bCs/>
          <w:i/>
          <w:iCs/>
        </w:rPr>
        <w:t>Exceptions</w:t>
      </w:r>
    </w:p>
    <w:p w14:paraId="298DECF5" w14:textId="2E258DB4" w:rsidR="00C96EF3" w:rsidRPr="00C96EF3" w:rsidRDefault="00C96EF3" w:rsidP="00C96EF3">
      <w:pPr>
        <w:pStyle w:val="ListParagraph"/>
        <w:numPr>
          <w:ilvl w:val="0"/>
          <w:numId w:val="70"/>
        </w:numPr>
        <w:tabs>
          <w:tab w:val="right" w:leader="dot" w:pos="9360"/>
        </w:tabs>
        <w:spacing w:after="240"/>
        <w:jc w:val="both"/>
        <w:rPr>
          <w:rFonts w:ascii="Arial" w:hAnsi="Arial" w:cs="Arial"/>
          <w:bCs/>
          <w:iCs/>
        </w:rPr>
      </w:pPr>
      <w:r w:rsidRPr="00C96EF3">
        <w:rPr>
          <w:rFonts w:ascii="Arial" w:hAnsi="Arial" w:cs="Arial"/>
          <w:bCs/>
          <w:iCs/>
        </w:rPr>
        <w:lastRenderedPageBreak/>
        <w:t>Funds allocated for food costs may be converted (be applied to NSA costs) (1)</w:t>
      </w:r>
      <w:r w:rsidRPr="00C96EF3">
        <w:rPr>
          <w:rFonts w:ascii="Arial" w:hAnsi="Arial" w:cs="Arial"/>
          <w:bCs/>
          <w:iCs/>
        </w:rPr>
        <w:tab/>
        <w:t xml:space="preserve"> as a result of a state’s plan to exceed participation levels projected by the federal funding formula; or (2) after recovery as vendor or participant collections. Conversion due to planned participation increases is allowed only if such increases are expected to result from an approved cost containment plan (7 CFR sections 246.14(e) and 246.16(f)).</w:t>
      </w:r>
    </w:p>
    <w:p w14:paraId="4E45252C" w14:textId="5C7EF095" w:rsidR="00C96EF3" w:rsidRPr="00C96EF3" w:rsidRDefault="00C96EF3" w:rsidP="00C96EF3">
      <w:pPr>
        <w:pStyle w:val="ListParagraph"/>
        <w:numPr>
          <w:ilvl w:val="0"/>
          <w:numId w:val="70"/>
        </w:numPr>
        <w:tabs>
          <w:tab w:val="right" w:leader="dot" w:pos="9360"/>
        </w:tabs>
        <w:spacing w:after="240"/>
        <w:jc w:val="both"/>
        <w:rPr>
          <w:rFonts w:ascii="Arial" w:hAnsi="Arial" w:cs="Arial"/>
          <w:bCs/>
          <w:iCs/>
        </w:rPr>
      </w:pPr>
      <w:r w:rsidRPr="00C96EF3">
        <w:rPr>
          <w:rFonts w:ascii="Arial" w:hAnsi="Arial" w:cs="Arial"/>
          <w:bCs/>
          <w:iCs/>
        </w:rPr>
        <w:t>Funds allocated for NSA costs but not needed for such costs may be applied to food costs (7 CFR section 246.14(a)(2)).</w:t>
      </w:r>
    </w:p>
    <w:p w14:paraId="7DE07761" w14:textId="7B42BF0F" w:rsidR="00C96EF3" w:rsidRPr="00C96EF3" w:rsidRDefault="00C96EF3" w:rsidP="00C96EF3">
      <w:pPr>
        <w:pStyle w:val="ListParagraph"/>
        <w:numPr>
          <w:ilvl w:val="0"/>
          <w:numId w:val="70"/>
        </w:numPr>
        <w:tabs>
          <w:tab w:val="right" w:leader="dot" w:pos="9360"/>
        </w:tabs>
        <w:spacing w:after="240"/>
        <w:jc w:val="both"/>
        <w:rPr>
          <w:rFonts w:ascii="Arial" w:hAnsi="Arial" w:cs="Arial"/>
          <w:bCs/>
          <w:iCs/>
        </w:rPr>
      </w:pPr>
      <w:r w:rsidRPr="00C96EF3">
        <w:rPr>
          <w:rFonts w:ascii="Arial" w:hAnsi="Arial" w:cs="Arial"/>
          <w:bCs/>
          <w:iCs/>
        </w:rPr>
        <w:t>USDA has authority under the Access to Baby Formula Act of 2022 (P.L. 117-129) to waive or modify any statutory requirement under Section 17 of the Child Nutrition Act of 1966 (42 U.S.C. 1786) or any regulatory requirement in the event of a public health emergency and any subsequent renewals as declared by the Secretary of Health and Human Services, a presidentially declared major disaster, a presidentially declared emergency, and a supply chain disruption, provided that the following two conditions are met: 1) such requirements cannot be met by WIC State agencies under the conditions that prompted the emergency period, and 2) exercising the waiver authority is necessary to serve participants and does not substantially weaken the nutritional quality of supplemental foods. FNS is currently pursuing rulemaking to codify the Access to Baby Formula Act of 2022 (P.L. 117-129) requirements, including waiver authority, which is expected to publish in December 2023.</w:t>
      </w:r>
    </w:p>
    <w:p w14:paraId="60A113F7" w14:textId="2ECBF1DA" w:rsidR="00C96EF3" w:rsidRPr="00C96EF3" w:rsidRDefault="00C96EF3" w:rsidP="00C96EF3">
      <w:pPr>
        <w:pStyle w:val="ListParagraph"/>
        <w:numPr>
          <w:ilvl w:val="0"/>
          <w:numId w:val="68"/>
        </w:numPr>
        <w:tabs>
          <w:tab w:val="right" w:leader="dot" w:pos="9360"/>
        </w:tabs>
        <w:spacing w:after="240"/>
        <w:jc w:val="both"/>
        <w:rPr>
          <w:rFonts w:ascii="Arial" w:hAnsi="Arial" w:cs="Arial"/>
          <w:bCs/>
          <w:i/>
        </w:rPr>
      </w:pPr>
      <w:r w:rsidRPr="00C96EF3">
        <w:rPr>
          <w:rFonts w:ascii="Arial" w:hAnsi="Arial" w:cs="Arial"/>
          <w:bCs/>
          <w:i/>
        </w:rPr>
        <w:t>Distinguishing WIC from Non-WIC Services</w:t>
      </w:r>
    </w:p>
    <w:p w14:paraId="4BECA9F1" w14:textId="6E6A7030" w:rsidR="00C96EF3" w:rsidRPr="00C96EF3" w:rsidRDefault="00C96EF3" w:rsidP="00C96EF3">
      <w:pPr>
        <w:tabs>
          <w:tab w:val="right" w:leader="dot" w:pos="9360"/>
        </w:tabs>
        <w:spacing w:after="240"/>
        <w:ind w:left="720"/>
        <w:jc w:val="both"/>
        <w:rPr>
          <w:rFonts w:ascii="Arial" w:hAnsi="Arial" w:cs="Arial"/>
          <w:bCs/>
          <w:iCs/>
        </w:rPr>
      </w:pPr>
      <w:r w:rsidRPr="00C96EF3">
        <w:rPr>
          <w:rFonts w:ascii="Arial" w:hAnsi="Arial" w:cs="Arial"/>
          <w:bCs/>
          <w:iCs/>
        </w:rPr>
        <w:t>Under no circumstances may the WIC NSA grant component be charged for costs that are demonstrably outside the scope of the WIC program. WIC services may include (a) some screening (excluding laboratory tests other than the blood work [hematological test] described below, which is required for determining WIC eligibility); (b) referrals for other medical/social services, such as immunizations, prenatal (before birth) care, perinatal care (near the time of birth from the 28th week of pregnancy through 28 days following birth), and well child care and/or family planning; and (c) follow-up on participants referred for such services.</w:t>
      </w:r>
      <w:r>
        <w:rPr>
          <w:rFonts w:ascii="Arial" w:hAnsi="Arial" w:cs="Arial"/>
          <w:bCs/>
          <w:iCs/>
        </w:rPr>
        <w:t xml:space="preserve"> </w:t>
      </w:r>
      <w:r w:rsidRPr="00C96EF3">
        <w:rPr>
          <w:rFonts w:ascii="Arial" w:hAnsi="Arial" w:cs="Arial"/>
          <w:bCs/>
          <w:iCs/>
        </w:rPr>
        <w:t>However, the cost of the services performed by other health care or social service providers to which the participant has been referred shall not be charged to the WIC grant. For example, the cost to screen, refer, and follow-up on immunizations for WIC participants may be charged to the WIC grant, but the cost to administer the shot, or to purchase the vaccine or vaccine-related equipment, may not be charged to the WIC grant.</w:t>
      </w:r>
    </w:p>
    <w:p w14:paraId="219FAC0A" w14:textId="514050B3" w:rsidR="00C96EF3" w:rsidRPr="00C96EF3" w:rsidRDefault="00C96EF3" w:rsidP="00C96EF3">
      <w:pPr>
        <w:tabs>
          <w:tab w:val="right" w:leader="dot" w:pos="9360"/>
        </w:tabs>
        <w:spacing w:after="240"/>
        <w:ind w:left="720"/>
        <w:jc w:val="both"/>
        <w:rPr>
          <w:rFonts w:ascii="Arial" w:hAnsi="Arial" w:cs="Arial"/>
          <w:bCs/>
          <w:iCs/>
        </w:rPr>
      </w:pPr>
      <w:r w:rsidRPr="00C96EF3">
        <w:rPr>
          <w:rFonts w:ascii="Arial" w:hAnsi="Arial" w:cs="Arial"/>
          <w:bCs/>
          <w:iCs/>
        </w:rPr>
        <w:t>A hematological test for anemia, such as a hemoglobin, hematocrit, or free erythrocyte protoporphyrin test, is the only laboratory test required to determine a person’s eligibility for WIC (7 CFR section 246.7(e)(1)). Accordingly, the cost of hematological tests for anemia is the only laboratory cost that may be charged to a WIC grant.</w:t>
      </w:r>
    </w:p>
    <w:p w14:paraId="72858E59" w14:textId="1E5E15B4" w:rsidR="00C96EF3" w:rsidRPr="00C96EF3" w:rsidRDefault="00434AE4" w:rsidP="00434AE4">
      <w:pPr>
        <w:tabs>
          <w:tab w:val="right" w:leader="dot" w:pos="9360"/>
        </w:tabs>
        <w:spacing w:after="240"/>
        <w:jc w:val="both"/>
        <w:rPr>
          <w:rFonts w:ascii="Arial" w:hAnsi="Arial" w:cs="Arial"/>
          <w:bCs/>
          <w:i/>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A90B4EE" w14:textId="77777777" w:rsidR="00A712B0" w:rsidRPr="00A0464C" w:rsidRDefault="00A712B0" w:rsidP="006672EA">
      <w:pPr>
        <w:pStyle w:val="Heading3"/>
        <w:jc w:val="both"/>
        <w:rPr>
          <w:rFonts w:cs="Arial"/>
          <w:sz w:val="24"/>
          <w:szCs w:val="24"/>
        </w:rPr>
      </w:pPr>
      <w:bookmarkStart w:id="34" w:name="_Toc442267688"/>
      <w:bookmarkStart w:id="35" w:name="_Toc188606061"/>
      <w:r w:rsidRPr="00A0464C">
        <w:rPr>
          <w:rFonts w:cs="Arial"/>
          <w:sz w:val="24"/>
          <w:szCs w:val="24"/>
        </w:rPr>
        <w:t>Additional Program Specific Information</w:t>
      </w:r>
      <w:bookmarkEnd w:id="34"/>
      <w:bookmarkEnd w:id="3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0E8E8532" w:rsidR="00AA5B05" w:rsidRPr="00612E97" w:rsidRDefault="00AA5B05"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7493970" w14:textId="0D18E487" w:rsidR="00AA5B05" w:rsidRPr="00AA5B05" w:rsidRDefault="00AA5B05"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4D67AD3" w14:textId="77777777" w:rsidR="006550AB" w:rsidRPr="006550AB" w:rsidRDefault="006550AB" w:rsidP="006550AB">
      <w:pPr>
        <w:spacing w:after="240"/>
        <w:jc w:val="both"/>
        <w:rPr>
          <w:rFonts w:ascii="Arial" w:hAnsi="Arial" w:cs="Arial"/>
          <w:b/>
        </w:rPr>
      </w:pPr>
      <w:r w:rsidRPr="006550AB">
        <w:rPr>
          <w:rFonts w:ascii="Arial" w:hAnsi="Arial" w:cs="Arial"/>
          <w:b/>
        </w:rPr>
        <w:lastRenderedPageBreak/>
        <w:t>Indirect (Facilities and Administration): Note to Applicant – please select one of the three options that apply.</w:t>
      </w:r>
    </w:p>
    <w:p w14:paraId="5332C7CB" w14:textId="77777777" w:rsidR="006550AB" w:rsidRPr="006550AB" w:rsidRDefault="006550AB" w:rsidP="006550AB">
      <w:pPr>
        <w:spacing w:after="240"/>
        <w:jc w:val="both"/>
        <w:rPr>
          <w:rFonts w:ascii="Arial" w:hAnsi="Arial" w:cs="Arial"/>
          <w:bCs/>
        </w:rPr>
      </w:pPr>
      <w:r w:rsidRPr="006550AB">
        <w:rPr>
          <w:rFonts w:ascii="Arial" w:hAnsi="Arial" w:cs="Arial"/>
          <w:bCs/>
        </w:rPr>
        <w:t>Use the indirect cost rate included in the agency's Indirect Cost Rate Agreement as negotiated with and approved by the cognizant federal funder. If the applicant chooses this option, then the agreement must be submitted in GMIS as an attachment to the application.</w:t>
      </w:r>
    </w:p>
    <w:p w14:paraId="5E279A19" w14:textId="77777777" w:rsidR="006550AB" w:rsidRPr="006550AB" w:rsidRDefault="006550AB" w:rsidP="006550AB">
      <w:pPr>
        <w:spacing w:after="240"/>
        <w:jc w:val="both"/>
        <w:rPr>
          <w:rFonts w:ascii="Arial" w:hAnsi="Arial" w:cs="Arial"/>
          <w:bCs/>
        </w:rPr>
      </w:pPr>
      <w:r w:rsidRPr="006550AB">
        <w:rPr>
          <w:rFonts w:ascii="Arial" w:hAnsi="Arial" w:cs="Arial"/>
          <w:bCs/>
        </w:rPr>
        <w:t>If the subrecipient has not executed a federally approved Indirect Cost Rate Agreement, the subrecipient may elect to charge a de minimis rate of 10% of modified total direct costs (MIDC) which may be used indefinitely.</w:t>
      </w:r>
    </w:p>
    <w:p w14:paraId="304FABBE" w14:textId="77777777" w:rsidR="006550AB" w:rsidRPr="006550AB" w:rsidRDefault="006550AB" w:rsidP="006550AB">
      <w:pPr>
        <w:spacing w:after="240"/>
        <w:jc w:val="both"/>
        <w:rPr>
          <w:rFonts w:ascii="Arial" w:hAnsi="Arial" w:cs="Arial"/>
          <w:bCs/>
        </w:rPr>
      </w:pPr>
      <w:r w:rsidRPr="006550AB">
        <w:rPr>
          <w:rFonts w:ascii="Arial" w:hAnsi="Arial" w:cs="Arial"/>
          <w:bCs/>
        </w:rPr>
        <w:t>Base the budget solely upon direct costs.</w:t>
      </w:r>
    </w:p>
    <w:p w14:paraId="7B7C58C2" w14:textId="77777777" w:rsidR="006550AB" w:rsidRPr="006550AB" w:rsidRDefault="006550AB" w:rsidP="006550AB">
      <w:pPr>
        <w:spacing w:after="240"/>
        <w:jc w:val="both"/>
        <w:rPr>
          <w:rFonts w:ascii="Arial" w:hAnsi="Arial" w:cs="Arial"/>
          <w:bCs/>
        </w:rPr>
      </w:pPr>
      <w:r w:rsidRPr="006550AB">
        <w:rPr>
          <w:rFonts w:ascii="Arial" w:hAnsi="Arial" w:cs="Arial"/>
          <w:bCs/>
        </w:rPr>
        <w:t>For further information, please see section B2.10 of OGAAP.</w:t>
      </w:r>
    </w:p>
    <w:p w14:paraId="1A807899" w14:textId="502EE7CD" w:rsidR="006550AB" w:rsidRPr="006550AB" w:rsidRDefault="006550AB" w:rsidP="00AA5B05">
      <w:pPr>
        <w:spacing w:after="240"/>
        <w:jc w:val="both"/>
        <w:rPr>
          <w:rFonts w:ascii="Arial" w:hAnsi="Arial" w:cs="Arial"/>
          <w:bCs/>
          <w:i/>
        </w:rPr>
      </w:pPr>
      <w:r w:rsidRPr="006550AB">
        <w:rPr>
          <w:rFonts w:ascii="Arial" w:hAnsi="Arial" w:cs="Arial"/>
          <w:bCs/>
          <w:i/>
        </w:rPr>
        <w:t xml:space="preserve">(Source: </w:t>
      </w:r>
      <w:hyperlink r:id="rId38" w:history="1">
        <w:r w:rsidRPr="00B71AFE">
          <w:rPr>
            <w:rStyle w:val="Hyperlink"/>
            <w:rFonts w:cs="Arial"/>
            <w:bCs/>
            <w:i/>
          </w:rPr>
          <w:t>Section II, Paragraph B of the of the Solicitation for Special Supplemental Nutrition Program for Women, Infants and Children (WIC) Solicitation for Fiscal Year 2024 and Section II, Paragraph E of the Solicitation for Fiscal Year 2024</w:t>
        </w:r>
      </w:hyperlink>
      <w:r>
        <w:rPr>
          <w:rFonts w:ascii="Arial" w:hAnsi="Arial" w:cs="Arial"/>
          <w:bCs/>
          <w:i/>
        </w:rPr>
        <w:t>)</w:t>
      </w:r>
      <w:r w:rsidRPr="006550AB">
        <w:rPr>
          <w:rFonts w:ascii="Arial" w:hAnsi="Arial" w:cs="Arial"/>
          <w:bCs/>
          <w:i/>
        </w:rPr>
        <w:t>.</w:t>
      </w:r>
    </w:p>
    <w:p w14:paraId="1D1062F9" w14:textId="77777777" w:rsidR="00612E97" w:rsidRPr="00B179B9" w:rsidRDefault="00612E97" w:rsidP="00612E97">
      <w:pPr>
        <w:spacing w:after="240"/>
        <w:jc w:val="both"/>
        <w:rPr>
          <w:rFonts w:ascii="Arial" w:hAnsi="Arial" w:cs="Arial"/>
          <w:b/>
          <w:u w:val="single"/>
        </w:rPr>
      </w:pPr>
      <w:r w:rsidRPr="00B179B9">
        <w:rPr>
          <w:rFonts w:ascii="Arial" w:hAnsi="Arial" w:cs="Arial"/>
          <w:b/>
          <w:u w:val="single"/>
        </w:rPr>
        <w:t>Ohio Department of Health</w:t>
      </w:r>
    </w:p>
    <w:p w14:paraId="18B1AAAC" w14:textId="77777777" w:rsidR="00612E97" w:rsidRPr="00B179B9" w:rsidRDefault="00612E97" w:rsidP="00612E97">
      <w:pPr>
        <w:spacing w:after="240"/>
        <w:jc w:val="both"/>
        <w:rPr>
          <w:rFonts w:ascii="Arial" w:hAnsi="Arial" w:cs="Arial"/>
          <w:b/>
        </w:rPr>
      </w:pPr>
      <w:r w:rsidRPr="00B179B9">
        <w:rPr>
          <w:rFonts w:ascii="Arial" w:hAnsi="Arial" w:cs="Arial"/>
          <w:b/>
        </w:rPr>
        <w:t>B2.1 Allowable Costs</w:t>
      </w:r>
    </w:p>
    <w:p w14:paraId="72ED5582" w14:textId="77777777" w:rsidR="00612E97" w:rsidRPr="00B179B9" w:rsidRDefault="00612E97" w:rsidP="00612E97">
      <w:pPr>
        <w:spacing w:after="240"/>
        <w:jc w:val="both"/>
        <w:rPr>
          <w:rFonts w:ascii="Arial" w:hAnsi="Arial" w:cs="Arial"/>
        </w:rPr>
      </w:pPr>
      <w:r w:rsidRPr="00B179B9">
        <w:rPr>
          <w:rFonts w:ascii="Arial" w:hAnsi="Arial" w:cs="Arial"/>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r>
        <w:rPr>
          <w:rFonts w:ascii="Arial" w:hAnsi="Arial" w:cs="Arial"/>
        </w:rPr>
        <w:t xml:space="preserve"> </w:t>
      </w:r>
    </w:p>
    <w:p w14:paraId="15F651F1" w14:textId="3AA0F48B" w:rsidR="00612E97" w:rsidRPr="00B179B9" w:rsidRDefault="00612E97" w:rsidP="00612E97">
      <w:pPr>
        <w:spacing w:after="240"/>
        <w:jc w:val="both"/>
        <w:rPr>
          <w:rFonts w:ascii="Arial" w:hAnsi="Arial" w:cs="Arial"/>
        </w:rPr>
      </w:pPr>
      <w:r w:rsidRPr="00B179B9">
        <w:rPr>
          <w:rFonts w:ascii="Arial" w:hAnsi="Arial" w:cs="Arial"/>
        </w:rPr>
        <w:t xml:space="preserve">The NOA, which constitutes approval of the original program budget or a </w:t>
      </w:r>
      <w:r w:rsidRPr="00C96EF3">
        <w:rPr>
          <w:rFonts w:ascii="Arial" w:hAnsi="Arial" w:cs="Arial"/>
        </w:rPr>
        <w:t>subsequently approved budget revision, is used to approve line item expenditures as allowable costs. See ALLOWABLE COSTS/COST PRINCIPLES section</w:t>
      </w:r>
      <w:r w:rsidR="002822F6" w:rsidRPr="00C96EF3">
        <w:rPr>
          <w:rFonts w:ascii="Arial" w:hAnsi="Arial" w:cs="Arial"/>
        </w:rPr>
        <w:t xml:space="preserve"> of the OGAPP Manual</w:t>
      </w:r>
      <w:r w:rsidRPr="00C96EF3">
        <w:rPr>
          <w:rFonts w:ascii="Arial" w:hAnsi="Arial" w:cs="Arial"/>
        </w:rPr>
        <w:t xml:space="preserve"> for more details.</w:t>
      </w:r>
    </w:p>
    <w:p w14:paraId="25B24BD1" w14:textId="77777777" w:rsidR="00612E97" w:rsidRPr="00B179B9" w:rsidRDefault="00612E97" w:rsidP="00612E97">
      <w:pPr>
        <w:spacing w:after="240"/>
        <w:jc w:val="both"/>
        <w:rPr>
          <w:rFonts w:ascii="Arial" w:hAnsi="Arial" w:cs="Arial"/>
          <w:b/>
          <w:bCs/>
        </w:rPr>
      </w:pPr>
      <w:r w:rsidRPr="00B179B9">
        <w:rPr>
          <w:rFonts w:ascii="Arial" w:hAnsi="Arial" w:cs="Arial"/>
          <w:b/>
          <w:bCs/>
        </w:rPr>
        <w:t>B2.2 Unallowable Costs</w:t>
      </w:r>
    </w:p>
    <w:p w14:paraId="44134C6B"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 xml:space="preserve">Grant costs cannot be considered allowable by ODH unless they meet the appropriate OMB cost principles and have been approved either in the initial application budget or in a subsequent approved budget revision. Funds must be used solely for the purpose as specified in the grant announcement or the Solicitation. However, costs that were previously approved on a budget, but have been found to be unallowable through a site monitoring visit or an audit, will be disallowed. </w:t>
      </w:r>
      <w:r w:rsidRPr="00B179B9">
        <w:rPr>
          <w:rFonts w:ascii="Arial" w:hAnsi="Arial" w:cs="Arial"/>
          <w:b/>
          <w:bCs/>
        </w:rPr>
        <w:t>The use of funds for prohibited purposes will result in the loss of grant funds and may require the subrecipient to return funds to ODH.</w:t>
      </w:r>
    </w:p>
    <w:p w14:paraId="33678741"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Grant funds </w:t>
      </w:r>
      <w:r w:rsidRPr="00B179B9">
        <w:rPr>
          <w:rFonts w:ascii="Arial" w:hAnsi="Arial" w:cs="Arial"/>
          <w:b/>
          <w:bCs/>
          <w:color w:val="000000"/>
        </w:rPr>
        <w:t xml:space="preserve">may not </w:t>
      </w:r>
      <w:r w:rsidRPr="00B179B9">
        <w:rPr>
          <w:rFonts w:ascii="Arial" w:hAnsi="Arial" w:cs="Arial"/>
          <w:color w:val="000000"/>
        </w:rPr>
        <w:t>be used for the following:</w:t>
      </w:r>
    </w:p>
    <w:p w14:paraId="25BC8F0C"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Advancement of political or religious points of view</w:t>
      </w:r>
    </w:p>
    <w:p w14:paraId="4DC88F4F"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Fund raising and investment management costs</w:t>
      </w:r>
    </w:p>
    <w:p w14:paraId="222E9C46"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Dissemination of factually incorrect or deceitful information</w:t>
      </w:r>
    </w:p>
    <w:p w14:paraId="712DE359"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Consulting fee for salaried program personnel to perform activities related to grant objectives</w:t>
      </w:r>
    </w:p>
    <w:p w14:paraId="0877B6D6"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Advertisement – other than for recruitment or procurement or if required by the specified program’s Solicitation</w:t>
      </w:r>
    </w:p>
    <w:p w14:paraId="73ADD9A0"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Bad debts of any kind</w:t>
      </w:r>
    </w:p>
    <w:p w14:paraId="6F82BD91"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Contributions to a contingency fund or reserve</w:t>
      </w:r>
    </w:p>
    <w:p w14:paraId="05AF59FE"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Entertainment</w:t>
      </w:r>
    </w:p>
    <w:p w14:paraId="331C118F"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Alcoholic Beverages</w:t>
      </w:r>
    </w:p>
    <w:p w14:paraId="56DA5BD6"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Fines and penalties</w:t>
      </w:r>
    </w:p>
    <w:p w14:paraId="12020620"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lastRenderedPageBreak/>
        <w:t>Legal fees incurred in defense of any civil or criminal fraud proceeding</w:t>
      </w:r>
    </w:p>
    <w:p w14:paraId="72B1A3E2"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Membership fees, unless related to the program and approved by ODH</w:t>
      </w:r>
    </w:p>
    <w:p w14:paraId="23E90007"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 xml:space="preserve">Loan or the </w:t>
      </w:r>
      <w:r>
        <w:rPr>
          <w:rFonts w:ascii="Arial" w:hAnsi="Arial" w:cs="Arial"/>
          <w:color w:val="000000"/>
        </w:rPr>
        <w:t>principal</w:t>
      </w:r>
      <w:r w:rsidRPr="00B179B9">
        <w:rPr>
          <w:rFonts w:ascii="Arial" w:hAnsi="Arial" w:cs="Arial"/>
          <w:color w:val="000000"/>
        </w:rPr>
        <w:t xml:space="preserve"> amount of mortgage payments</w:t>
      </w:r>
    </w:p>
    <w:p w14:paraId="3CB2C7D0"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Contributions made by program personnel</w:t>
      </w:r>
    </w:p>
    <w:p w14:paraId="31A8440A"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Costs to rent equipment or space owned by the funded agency</w:t>
      </w:r>
    </w:p>
    <w:p w14:paraId="1F47066E"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Inpatient services</w:t>
      </w:r>
    </w:p>
    <w:p w14:paraId="02CE78CA"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Purchase or improvement of land; the purchase, construction or permanent improvement of any building</w:t>
      </w:r>
      <w:r>
        <w:rPr>
          <w:rFonts w:ascii="Arial" w:hAnsi="Arial" w:cs="Arial"/>
          <w:color w:val="000000"/>
        </w:rPr>
        <w:t>, except those approved by ODH</w:t>
      </w:r>
    </w:p>
    <w:p w14:paraId="45FC9428" w14:textId="77777777" w:rsidR="00612E97" w:rsidRPr="00B179B9" w:rsidRDefault="00612E97" w:rsidP="00C96EF3">
      <w:pPr>
        <w:pStyle w:val="ListParagraph"/>
        <w:numPr>
          <w:ilvl w:val="0"/>
          <w:numId w:val="50"/>
        </w:numPr>
        <w:jc w:val="both"/>
        <w:rPr>
          <w:rFonts w:ascii="Arial" w:hAnsi="Arial" w:cs="Arial"/>
          <w:color w:val="000000"/>
        </w:rPr>
      </w:pPr>
      <w:r w:rsidRPr="00B179B9">
        <w:rPr>
          <w:rFonts w:ascii="Arial" w:hAnsi="Arial" w:cs="Arial"/>
          <w:color w:val="000000"/>
        </w:rPr>
        <w:t>Satisfying any requirement for the expenditure of non-federal funds as a condition for the receipt of federal funds</w:t>
      </w:r>
    </w:p>
    <w:p w14:paraId="05CC93E9" w14:textId="77777777" w:rsidR="00612E97" w:rsidRPr="00B179B9" w:rsidRDefault="00612E97" w:rsidP="00C96EF3">
      <w:pPr>
        <w:pStyle w:val="ListParagraph"/>
        <w:numPr>
          <w:ilvl w:val="0"/>
          <w:numId w:val="50"/>
        </w:numPr>
        <w:jc w:val="both"/>
        <w:rPr>
          <w:rFonts w:ascii="Arial" w:hAnsi="Arial" w:cs="Arial"/>
          <w:color w:val="0000FF"/>
        </w:rPr>
      </w:pPr>
      <w:r w:rsidRPr="00B179B9">
        <w:rPr>
          <w:rFonts w:ascii="Arial" w:hAnsi="Arial" w:cs="Arial"/>
          <w:color w:val="000000"/>
        </w:rPr>
        <w:t xml:space="preserve">Lodging, travel and meals over the current state rates (See Ohio Shared Services Website for hotel rates and Meals Per Diem at: </w:t>
      </w:r>
      <w:hyperlink r:id="rId39" w:history="1">
        <w:r w:rsidRPr="00B179B9">
          <w:rPr>
            <w:rStyle w:val="Hyperlink"/>
            <w:rFonts w:cs="Arial"/>
          </w:rPr>
          <w:t>http://www.ohiosharedservices.ohio.gov/TravelandExpense.aspx</w:t>
        </w:r>
      </w:hyperlink>
      <w:r w:rsidRPr="00B179B9">
        <w:rPr>
          <w:rFonts w:ascii="Arial" w:hAnsi="Arial" w:cs="Arial"/>
          <w:color w:val="0000FF"/>
        </w:rPr>
        <w:t>)</w:t>
      </w:r>
    </w:p>
    <w:p w14:paraId="1452FFCE" w14:textId="77777777" w:rsidR="00612E97" w:rsidRPr="008F69BA" w:rsidRDefault="00612E97" w:rsidP="00C96EF3">
      <w:pPr>
        <w:pStyle w:val="ListParagraph"/>
        <w:numPr>
          <w:ilvl w:val="0"/>
          <w:numId w:val="50"/>
        </w:numPr>
        <w:jc w:val="both"/>
        <w:rPr>
          <w:rFonts w:ascii="Arial" w:hAnsi="Arial" w:cs="Arial"/>
        </w:rPr>
      </w:pPr>
      <w:r w:rsidRPr="00B179B9">
        <w:rPr>
          <w:rFonts w:ascii="Arial" w:hAnsi="Arial" w:cs="Arial"/>
          <w:color w:val="000000"/>
        </w:rPr>
        <w:t xml:space="preserve">All costs related to out-of-state travel, unless prior approved </w:t>
      </w:r>
      <w:r w:rsidRPr="008F69BA">
        <w:rPr>
          <w:rFonts w:ascii="Arial" w:hAnsi="Arial" w:cs="Arial"/>
        </w:rPr>
        <w:t>by ODH</w:t>
      </w:r>
    </w:p>
    <w:p w14:paraId="4F2C311D"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Training longer than one week in duration, unless prior approved by ODH</w:t>
      </w:r>
    </w:p>
    <w:p w14:paraId="6D6516F9"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Contracts, for compensation, with advisory board members</w:t>
      </w:r>
    </w:p>
    <w:p w14:paraId="5A2F4ECF"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Goods or services for personal use regardless if reported as taxable income to employee</w:t>
      </w:r>
    </w:p>
    <w:p w14:paraId="63EF3AE1"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Grant-related equipment costs greater than $1,000, unless justified and approved by ODH</w:t>
      </w:r>
    </w:p>
    <w:p w14:paraId="6BB2C837"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Payments to any person for influencing or attempting to influence members of Congress or the Ohio General Assembly in connection with awarding of grants or other lobbying costs</w:t>
      </w:r>
    </w:p>
    <w:p w14:paraId="44B7D732"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Gas Card/Vouchers unless specified in the Federal program guidelines and included in the Solicitation</w:t>
      </w:r>
    </w:p>
    <w:p w14:paraId="5BC784AF"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Promotional items (include items with slogans, logos, agency name/address, messaging). Promotional like items must be preapproved prior to submitting in agency subgrant program budget (e.g., to water bottles, t-shirts, totes that do not include slogans, logos, agency name/address, messaging).</w:t>
      </w:r>
    </w:p>
    <w:p w14:paraId="103A2084" w14:textId="77777777" w:rsidR="00612E97" w:rsidRPr="008F69BA" w:rsidRDefault="00612E97" w:rsidP="00C96EF3">
      <w:pPr>
        <w:pStyle w:val="ListParagraph"/>
        <w:numPr>
          <w:ilvl w:val="0"/>
          <w:numId w:val="50"/>
        </w:numPr>
        <w:jc w:val="both"/>
        <w:rPr>
          <w:rFonts w:ascii="Arial" w:hAnsi="Arial" w:cs="Arial"/>
        </w:rPr>
      </w:pPr>
      <w:r w:rsidRPr="008F69BA">
        <w:rPr>
          <w:rFonts w:ascii="Arial" w:hAnsi="Arial" w:cs="Arial"/>
        </w:rPr>
        <w:t>Office furniture*</w:t>
      </w:r>
    </w:p>
    <w:p w14:paraId="20FE33DC" w14:textId="77777777" w:rsidR="00612E97" w:rsidRPr="008F69BA" w:rsidRDefault="00612E97" w:rsidP="00C96EF3">
      <w:pPr>
        <w:pStyle w:val="ListParagraph"/>
        <w:numPr>
          <w:ilvl w:val="0"/>
          <w:numId w:val="50"/>
        </w:numPr>
        <w:spacing w:after="240"/>
        <w:jc w:val="both"/>
        <w:rPr>
          <w:rFonts w:ascii="Arial" w:hAnsi="Arial" w:cs="Arial"/>
        </w:rPr>
      </w:pPr>
      <w:r w:rsidRPr="008F69BA">
        <w:rPr>
          <w:rFonts w:ascii="Arial" w:hAnsi="Arial" w:cs="Arial"/>
        </w:rPr>
        <w:t>Additional program specific Unallowable Costs per the CFDA, Program regulations and directives or state law specifications, which may be provided in the Solicitation.</w:t>
      </w:r>
    </w:p>
    <w:p w14:paraId="53183279"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*Subrecipients will no longer be permitted to purchase office furniture, including but not limited to desks, chairs, file cabinets, using funding received from ODH. Subrecipients are permitted to purchase office furniture using the indirect funding collected from ODH subgrant funding. The transition to deliverable-based subgrants also provides another avenue for subrecipients to purchase office furniture. If office furniture is included in your current budget, you must attach a purchase order showing the purchase date. Any office furniture purchased on or after August 1, 2016 will be disallowed. Office furniture is being added to the Unallowable List in the solicitations and the OGAPP manual. With prior w</w:t>
      </w:r>
      <w:r w:rsidRPr="00B179B9">
        <w:rPr>
          <w:rFonts w:ascii="Arial" w:hAnsi="Arial" w:cs="Arial"/>
        </w:rPr>
        <w:t xml:space="preserve">ritten approval, the ODH WIC subgrant program is permitted to purchase replacement office furniture within the first two quarters of the </w:t>
      </w:r>
      <w:r w:rsidRPr="008F69BA">
        <w:rPr>
          <w:rFonts w:ascii="Arial" w:hAnsi="Arial" w:cs="Arial"/>
        </w:rPr>
        <w:t>grant year. The ODH Director may grant a waiver to this policy under special circumstances. The written waiver request must clearly detail the circumstance for the need to purchase replacement office furniture (i.e., fire, flood). If a subrecipient no longer receives subgrant funding used to purchase office furniture, the furniture must be returned to ODH or transferred to another subrecipient receiving those subgrant funding. Please contact your grant consultant if you have any further questions.</w:t>
      </w:r>
    </w:p>
    <w:p w14:paraId="62552498" w14:textId="77777777" w:rsidR="00612E97" w:rsidRPr="008F69BA" w:rsidRDefault="00612E97" w:rsidP="00612E97">
      <w:pPr>
        <w:spacing w:after="240"/>
        <w:jc w:val="both"/>
        <w:rPr>
          <w:rFonts w:ascii="Arial" w:hAnsi="Arial" w:cs="Arial"/>
        </w:rPr>
      </w:pPr>
      <w:r w:rsidRPr="008F69BA">
        <w:rPr>
          <w:rFonts w:ascii="Arial" w:hAnsi="Arial" w:cs="Arial"/>
          <w:b/>
        </w:rPr>
        <w:t>B2.5 Other Direct Costs</w:t>
      </w:r>
    </w:p>
    <w:p w14:paraId="7769D6D9"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color w:val="000000"/>
        </w:rPr>
        <w:t>Other Direct Costs are allowable costs not included in the GMIS budget categories of Personnel, Equipment, or Contracts. A direct cost is a cost that can be specifically identified with a particular final cost objective. Direct costs include, but are not limited to, supplies and travel directly benefiting the project or activity. All costs must be identified in the budget category by individual line items</w:t>
      </w:r>
    </w:p>
    <w:p w14:paraId="326437CC"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color w:val="000000"/>
        </w:rPr>
        <w:t xml:space="preserve">Direct costs to the project shall not exceed the percentage of project utilization. Usage records are required </w:t>
      </w:r>
      <w:r w:rsidRPr="008F69BA">
        <w:rPr>
          <w:rFonts w:ascii="Arial" w:hAnsi="Arial" w:cs="Arial"/>
        </w:rPr>
        <w:t>for costs that are not used exclusively by the program in order to support and document the amount charged to the program. Adequate accounting records must be maintained.</w:t>
      </w:r>
    </w:p>
    <w:p w14:paraId="49BD556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Facility Costs</w:t>
      </w:r>
      <w:r w:rsidRPr="008F69BA">
        <w:rPr>
          <w:rFonts w:ascii="Arial" w:hAnsi="Arial" w:cs="Arial"/>
          <w:bCs/>
        </w:rPr>
        <w:t xml:space="preserve"> </w:t>
      </w:r>
      <w:r w:rsidRPr="008F69BA">
        <w:rPr>
          <w:rFonts w:ascii="Arial" w:hAnsi="Arial" w:cs="Arial"/>
        </w:rPr>
        <w:t xml:space="preserve">include rent and lease costs for items such as office and meeting space, used by the program but not owned by the agency, depreciation, interest on a mortgage debt and use allowance. Rent </w:t>
      </w:r>
      <w:r w:rsidRPr="008F69BA">
        <w:rPr>
          <w:rFonts w:ascii="Arial" w:hAnsi="Arial" w:cs="Arial"/>
        </w:rPr>
        <w:lastRenderedPageBreak/>
        <w:t xml:space="preserve">and lease costs </w:t>
      </w:r>
      <w:r w:rsidRPr="008F69BA">
        <w:rPr>
          <w:rFonts w:ascii="Arial" w:hAnsi="Arial" w:cs="Arial"/>
          <w:color w:val="000000"/>
        </w:rPr>
        <w:t>must be supported by a copy of the current rent or lease agreement which must be signed by both the lessor and lessee and properly dated.</w:t>
      </w:r>
    </w:p>
    <w:p w14:paraId="7F82A835"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rPr>
        <w:t>Supplies</w:t>
      </w:r>
      <w:r w:rsidRPr="008F69BA">
        <w:rPr>
          <w:rFonts w:ascii="Arial" w:hAnsi="Arial" w:cs="Arial"/>
        </w:rPr>
        <w:t xml:space="preserve"> are all tangible property, other than equipment, that is purchased with grant funds. Supplies include expendable office, medical or general supply items with a unit cost of less than $1,000 that are used for the performance of the applicable award. Software costing less than $1,000 should be listed under the supply line in the Other Direct Cost category.</w:t>
      </w:r>
    </w:p>
    <w:p w14:paraId="527BFE40" w14:textId="0C98875D"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OBM Travel Rule 126-102 (A)(5) states “</w:t>
      </w:r>
      <w:r w:rsidRPr="008F69BA">
        <w:rPr>
          <w:rFonts w:ascii="Arial" w:hAnsi="Arial" w:cs="Arial"/>
          <w:b/>
        </w:rPr>
        <w:t>Reimbursable travel</w:t>
      </w:r>
      <w:r w:rsidRPr="008F69BA">
        <w:rPr>
          <w:rFonts w:ascii="Arial" w:hAnsi="Arial" w:cs="Arial"/>
        </w:rPr>
        <w:t xml:space="preserve"> expenses include the following expenses, in addition to lodging, meals, and transportation, which are actually incurred as a necessary part of approved travel” and must comply with </w:t>
      </w:r>
      <w:r w:rsidR="001222FF" w:rsidRPr="001222FF">
        <w:rPr>
          <w:rFonts w:ascii="Arial" w:hAnsi="Arial" w:cs="Arial"/>
        </w:rPr>
        <w:t>OBM Travel Policy rates</w:t>
      </w:r>
      <w:r w:rsidRPr="008F69BA">
        <w:rPr>
          <w:rFonts w:ascii="Arial" w:hAnsi="Arial" w:cs="Arial"/>
        </w:rPr>
        <w:t xml:space="preserve">: </w:t>
      </w:r>
    </w:p>
    <w:p w14:paraId="79D5C6F8" w14:textId="77777777" w:rsidR="00612E97" w:rsidRPr="008F69BA" w:rsidRDefault="00612E97" w:rsidP="00C96EF3">
      <w:pPr>
        <w:pStyle w:val="ListParagraph"/>
        <w:numPr>
          <w:ilvl w:val="0"/>
          <w:numId w:val="51"/>
        </w:numPr>
        <w:jc w:val="both"/>
        <w:rPr>
          <w:rFonts w:ascii="Arial" w:hAnsi="Arial" w:cs="Arial"/>
        </w:rPr>
      </w:pPr>
      <w:r w:rsidRPr="00B179B9">
        <w:rPr>
          <w:rFonts w:ascii="Arial" w:hAnsi="Arial" w:cs="Arial"/>
        </w:rPr>
        <w:t>Miscellaneous transportation expenses including parking charges, road tolls and other reasonably incurred transportation expenses directly related to authorized travel provided such expenses be listed separately on a travel expense report. Receipts are required for all miscellaneous living and business expenses exceeding ten ($10) dollars.</w:t>
      </w:r>
    </w:p>
    <w:p w14:paraId="193F239D" w14:textId="77777777" w:rsidR="00612E97" w:rsidRPr="008F69BA" w:rsidRDefault="00612E97" w:rsidP="00C96EF3">
      <w:pPr>
        <w:pStyle w:val="ListParagraph"/>
        <w:numPr>
          <w:ilvl w:val="0"/>
          <w:numId w:val="51"/>
        </w:numPr>
        <w:jc w:val="both"/>
        <w:rPr>
          <w:rFonts w:ascii="Arial" w:hAnsi="Arial" w:cs="Arial"/>
        </w:rPr>
      </w:pPr>
      <w:r w:rsidRPr="00B179B9">
        <w:rPr>
          <w:rFonts w:ascii="Arial" w:hAnsi="Arial" w:cs="Arial"/>
        </w:rPr>
        <w:t>Commercial transportation expenses paid by the subrecipient agent including taxi cabs, rental cars, airlines, ferries, subways, buses, trains, and other commercial transportation providers. Receipts shall be required for each individual riding in a commercial vehicle if the total trip costs over ten ($10) dollars.</w:t>
      </w:r>
    </w:p>
    <w:p w14:paraId="2645F9E8" w14:textId="77777777" w:rsidR="00612E97" w:rsidRPr="008F69BA" w:rsidRDefault="00612E97" w:rsidP="00C96EF3">
      <w:pPr>
        <w:pStyle w:val="ListParagraph"/>
        <w:numPr>
          <w:ilvl w:val="0"/>
          <w:numId w:val="51"/>
        </w:numPr>
        <w:jc w:val="both"/>
        <w:rPr>
          <w:rFonts w:ascii="Arial" w:hAnsi="Arial" w:cs="Arial"/>
        </w:rPr>
      </w:pPr>
      <w:r w:rsidRPr="00B179B9">
        <w:rPr>
          <w:rFonts w:ascii="Arial" w:hAnsi="Arial" w:cs="Arial"/>
        </w:rPr>
        <w:t>Registration fees paid by the subrecipient agent, which includes conferences, seminars, meetings, and other professional events. Receipts are required for all registration fees paid.</w:t>
      </w:r>
    </w:p>
    <w:p w14:paraId="6590F1C6" w14:textId="77777777" w:rsidR="00612E97" w:rsidRPr="008F69BA" w:rsidRDefault="00612E97" w:rsidP="00C96EF3">
      <w:pPr>
        <w:pStyle w:val="ListParagraph"/>
        <w:numPr>
          <w:ilvl w:val="0"/>
          <w:numId w:val="51"/>
        </w:numPr>
        <w:jc w:val="both"/>
        <w:rPr>
          <w:rFonts w:ascii="Arial" w:hAnsi="Arial" w:cs="Arial"/>
        </w:rPr>
      </w:pPr>
      <w:r w:rsidRPr="00B179B9">
        <w:rPr>
          <w:rFonts w:ascii="Arial" w:hAnsi="Arial" w:cs="Arial"/>
        </w:rPr>
        <w:t>Telephone, facsimile, internet, and other similar charges for official state business. A receipt shall be required for any single charge over ten ($10) dollars. The subrecipient shall first use any free internet services offered prior to incurring internet expenses.</w:t>
      </w:r>
    </w:p>
    <w:p w14:paraId="0498377D" w14:textId="77777777" w:rsidR="00612E97" w:rsidRPr="008F69BA" w:rsidRDefault="00612E97" w:rsidP="00C96EF3">
      <w:pPr>
        <w:pStyle w:val="ListParagraph"/>
        <w:numPr>
          <w:ilvl w:val="0"/>
          <w:numId w:val="51"/>
        </w:numPr>
        <w:jc w:val="both"/>
        <w:rPr>
          <w:rFonts w:ascii="Arial" w:hAnsi="Arial" w:cs="Arial"/>
        </w:rPr>
      </w:pPr>
      <w:r w:rsidRPr="00B179B9">
        <w:rPr>
          <w:rFonts w:ascii="Arial" w:hAnsi="Arial" w:cs="Arial"/>
        </w:rPr>
        <w:t>Lodging, meals, and transportation, which are actually incurred as a necessary part of approved travel and must comply with OMB Travel Policy rates.</w:t>
      </w:r>
    </w:p>
    <w:p w14:paraId="5E9561DE" w14:textId="77777777" w:rsidR="00612E97" w:rsidRPr="00B179B9" w:rsidRDefault="00612E97" w:rsidP="00C96EF3">
      <w:pPr>
        <w:pStyle w:val="ListParagraph"/>
        <w:numPr>
          <w:ilvl w:val="0"/>
          <w:numId w:val="51"/>
        </w:numPr>
        <w:spacing w:after="240"/>
        <w:jc w:val="both"/>
        <w:rPr>
          <w:rFonts w:ascii="Arial" w:hAnsi="Arial" w:cs="Arial"/>
        </w:rPr>
      </w:pPr>
      <w:r w:rsidRPr="00B179B9">
        <w:rPr>
          <w:rFonts w:ascii="Arial" w:hAnsi="Arial" w:cs="Arial"/>
        </w:rPr>
        <w:t>Miscellaneous living and business expenses for laundry, dry cleaning, personal telephone calls, postage and other expenses if the subrecipient is in overnight lodging for more than one week including a weekend. Receipts are required for all miscellaneous living and business expenses exceeding ten ($10) dollars.</w:t>
      </w:r>
    </w:p>
    <w:p w14:paraId="23D868FA" w14:textId="77777777" w:rsidR="00612E97" w:rsidRPr="00B179B9" w:rsidRDefault="00612E97" w:rsidP="00612E97">
      <w:pPr>
        <w:spacing w:after="240"/>
        <w:jc w:val="both"/>
        <w:rPr>
          <w:rFonts w:ascii="Arial" w:hAnsi="Arial" w:cs="Arial"/>
        </w:rPr>
      </w:pPr>
      <w:r w:rsidRPr="00B179B9">
        <w:rPr>
          <w:rFonts w:ascii="Arial" w:hAnsi="Arial" w:cs="Arial"/>
        </w:rPr>
        <w:t>Non-reimbursable travel expenses include, but are not limited to, the following:</w:t>
      </w:r>
    </w:p>
    <w:p w14:paraId="404004CE"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Alcoholic beverages</w:t>
      </w:r>
    </w:p>
    <w:p w14:paraId="73051F56"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Entertainment expenses</w:t>
      </w:r>
    </w:p>
    <w:p w14:paraId="2690118B"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Personal expenses incurred during travel that are primarily for the benefit of the traveler and not directly related to the official purpose of the grant. Examples include, but are not limited to, the purchase of personal hygiene items, magazines or books, movie rentals and other miscellaneous items.</w:t>
      </w:r>
    </w:p>
    <w:p w14:paraId="7FFDB92A"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Political expenses</w:t>
      </w:r>
    </w:p>
    <w:p w14:paraId="43B57EE3"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Travel insurance expenses</w:t>
      </w:r>
    </w:p>
    <w:p w14:paraId="24D1A368" w14:textId="77777777" w:rsidR="00612E97" w:rsidRPr="00B179B9" w:rsidRDefault="00612E97" w:rsidP="00C96EF3">
      <w:pPr>
        <w:pStyle w:val="ListParagraph"/>
        <w:numPr>
          <w:ilvl w:val="0"/>
          <w:numId w:val="52"/>
        </w:numPr>
        <w:jc w:val="both"/>
        <w:rPr>
          <w:rFonts w:ascii="Arial" w:hAnsi="Arial" w:cs="Arial"/>
        </w:rPr>
      </w:pPr>
      <w:r w:rsidRPr="00B179B9">
        <w:rPr>
          <w:rFonts w:ascii="Arial" w:hAnsi="Arial" w:cs="Arial"/>
        </w:rPr>
        <w:t>The cost of traffic fines and parking tickets</w:t>
      </w:r>
    </w:p>
    <w:p w14:paraId="19769790" w14:textId="77777777" w:rsidR="00612E97" w:rsidRPr="00B179B9" w:rsidRDefault="00612E97" w:rsidP="00C96EF3">
      <w:pPr>
        <w:pStyle w:val="ListParagraph"/>
        <w:numPr>
          <w:ilvl w:val="0"/>
          <w:numId w:val="52"/>
        </w:numPr>
        <w:spacing w:after="240"/>
        <w:jc w:val="both"/>
        <w:rPr>
          <w:rFonts w:ascii="Arial" w:hAnsi="Arial" w:cs="Arial"/>
        </w:rPr>
      </w:pPr>
      <w:r w:rsidRPr="00B179B9">
        <w:rPr>
          <w:rFonts w:ascii="Arial" w:hAnsi="Arial" w:cs="Arial"/>
        </w:rPr>
        <w:t>Travel expenses incurred by any volunteer serving without compensation but listed on the budget application</w:t>
      </w:r>
    </w:p>
    <w:p w14:paraId="75A12D6D"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 xml:space="preserve">Contractual employees are not considered subrecipient agency employees under these rules. </w:t>
      </w:r>
      <w:r w:rsidRPr="00B179B9">
        <w:rPr>
          <w:rFonts w:ascii="Arial" w:hAnsi="Arial" w:cs="Arial"/>
          <w:b/>
          <w:bCs/>
        </w:rPr>
        <w:t xml:space="preserve">Personnel, Other Direct Costs, Equipment, and Services for contractual employees must be included in the contractual agreement. </w:t>
      </w:r>
      <w:r w:rsidRPr="00B179B9">
        <w:rPr>
          <w:rFonts w:ascii="Arial" w:hAnsi="Arial" w:cs="Arial"/>
        </w:rPr>
        <w:t>Contractor travel should be budgeted and reported by classification (e.g., U.S.</w:t>
      </w:r>
      <w:r w:rsidRPr="00B179B9">
        <w:rPr>
          <w:rFonts w:ascii="Arial" w:hAnsi="Arial" w:cs="Arial"/>
          <w:b/>
          <w:bCs/>
        </w:rPr>
        <w:t xml:space="preserve"> </w:t>
      </w:r>
      <w:r w:rsidRPr="00B179B9">
        <w:rPr>
          <w:rFonts w:ascii="Arial" w:hAnsi="Arial" w:cs="Arial"/>
        </w:rPr>
        <w:t>travel, out of country, patient) under the GMIS Contract category. Priority is given to travel that most</w:t>
      </w:r>
      <w:r w:rsidRPr="00B179B9">
        <w:rPr>
          <w:rFonts w:ascii="Arial" w:hAnsi="Arial" w:cs="Arial"/>
          <w:b/>
          <w:bCs/>
        </w:rPr>
        <w:t xml:space="preserve"> </w:t>
      </w:r>
      <w:r w:rsidRPr="00B179B9">
        <w:rPr>
          <w:rFonts w:ascii="Arial" w:hAnsi="Arial" w:cs="Arial"/>
        </w:rPr>
        <w:t>directly benefits the project goals. Details describing the activity of each trip for subrecipient and</w:t>
      </w:r>
      <w:r w:rsidRPr="00B179B9">
        <w:rPr>
          <w:rFonts w:ascii="Arial" w:hAnsi="Arial" w:cs="Arial"/>
          <w:b/>
          <w:bCs/>
        </w:rPr>
        <w:t xml:space="preserve"> </w:t>
      </w:r>
      <w:r w:rsidRPr="00B179B9">
        <w:rPr>
          <w:rFonts w:ascii="Arial" w:hAnsi="Arial" w:cs="Arial"/>
        </w:rPr>
        <w:t>contractual employees should be provided in the budget justification.</w:t>
      </w:r>
    </w:p>
    <w:p w14:paraId="43589EB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The subrecipient should assure that unspent, unobligated funds are available for travel in the approved project budget. In the event there is insufficient funding available in the approved budget for such travel, a budget revision may be needed.</w:t>
      </w:r>
    </w:p>
    <w:p w14:paraId="39CCBBF3"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color w:val="000000"/>
        </w:rPr>
        <w:lastRenderedPageBreak/>
        <w:t xml:space="preserve">The subrecipient is obligated to minimize travel costs. The difference in costs between first-class air accommodations and economy-class air accommodations is unallowable except when economy class air accommodations are not available. To obtain further clarification please refer to the OBM </w:t>
      </w:r>
      <w:r w:rsidRPr="0032793A">
        <w:rPr>
          <w:rFonts w:ascii="Arial" w:hAnsi="Arial" w:cs="Arial"/>
        </w:rPr>
        <w:t xml:space="preserve">Travel Policy, </w:t>
      </w:r>
      <w:r w:rsidRPr="00B179B9">
        <w:rPr>
          <w:rFonts w:ascii="Arial" w:hAnsi="Arial" w:cs="Arial"/>
          <w:color w:val="000000"/>
        </w:rPr>
        <w:t>ODH updates, and the GMIS Bulletin Board postings, as issued.</w:t>
      </w:r>
    </w:p>
    <w:p w14:paraId="7E533656"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 xml:space="preserve">Travel Stipends </w:t>
      </w:r>
      <w:r w:rsidRPr="00B179B9">
        <w:rPr>
          <w:rFonts w:ascii="Arial" w:hAnsi="Arial" w:cs="Arial"/>
        </w:rPr>
        <w:t>for non-subrecipient agency staff that are supporting the project (e.g., some programs have parents attend specific workshops and pay their travel costs) are allowable. In this case, the line item should be titled “Travel Stipends for Parents.” The subrecipient is to maintain a copy of their Travel Stipend Policy in their respective agency for later ODH review. The agency maintains expenditure records of the stipends and reports the total in one line item. The Agency records must provide the audit trail.</w:t>
      </w:r>
    </w:p>
    <w:p w14:paraId="59587202"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 xml:space="preserve">Patient/Client Travel </w:t>
      </w:r>
      <w:r w:rsidRPr="00B179B9">
        <w:rPr>
          <w:rFonts w:ascii="Arial" w:hAnsi="Arial" w:cs="Arial"/>
        </w:rPr>
        <w:t>consisting of transporting patients to the site where services are provided is allowable, if patient care is an approved activity of the grant supported program and is necessary to meet program objectives. These are transportation costs via use of an agency van (at the approved state rate), tokens, or cost of public transportation. If your program allows gas cards/vouchers, the agency must maintain a log that lists the following: card number, date given, client name, and signature of client and signature or initials of a staff member.</w:t>
      </w:r>
    </w:p>
    <w:p w14:paraId="311A9ECE"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 xml:space="preserve">Depreciation and use allowance </w:t>
      </w:r>
      <w:r w:rsidRPr="00B179B9">
        <w:rPr>
          <w:rFonts w:ascii="Arial" w:hAnsi="Arial" w:cs="Arial"/>
        </w:rPr>
        <w:t>are means of allocating the costs of fixed assets to periods benefiting from the asset’s use. Compensation for the use of buildings, capital improvement to land and building on hand may be made through depreciation or use allowances. A subrecipient cannot claim both depreciation and use allowance.</w:t>
      </w:r>
    </w:p>
    <w:p w14:paraId="654B03C6" w14:textId="77777777" w:rsidR="00612E97" w:rsidRPr="00B179B9" w:rsidRDefault="00612E97" w:rsidP="00C96EF3">
      <w:pPr>
        <w:pStyle w:val="ListParagraph"/>
        <w:numPr>
          <w:ilvl w:val="0"/>
          <w:numId w:val="53"/>
        </w:numPr>
        <w:jc w:val="both"/>
        <w:rPr>
          <w:rFonts w:ascii="Arial" w:hAnsi="Arial" w:cs="Arial"/>
        </w:rPr>
      </w:pPr>
      <w:r w:rsidRPr="00B179B9">
        <w:rPr>
          <w:rFonts w:ascii="Arial" w:hAnsi="Arial" w:cs="Arial"/>
        </w:rPr>
        <w:t>The computation of depreciation or use allowance shall be based on acquisition costs of the asset involved.</w:t>
      </w:r>
    </w:p>
    <w:p w14:paraId="09DCB2F3" w14:textId="77777777" w:rsidR="00612E97" w:rsidRPr="00B179B9" w:rsidRDefault="00612E97" w:rsidP="00C96EF3">
      <w:pPr>
        <w:pStyle w:val="ListParagraph"/>
        <w:numPr>
          <w:ilvl w:val="0"/>
          <w:numId w:val="53"/>
        </w:numPr>
        <w:jc w:val="both"/>
        <w:rPr>
          <w:rFonts w:ascii="Arial" w:hAnsi="Arial" w:cs="Arial"/>
        </w:rPr>
      </w:pPr>
      <w:r w:rsidRPr="00B179B9">
        <w:rPr>
          <w:rFonts w:ascii="Arial" w:hAnsi="Arial" w:cs="Arial"/>
        </w:rPr>
        <w:t>The computation of depreciation or use allowance will exclude:</w:t>
      </w:r>
    </w:p>
    <w:p w14:paraId="72C9DCF4" w14:textId="77777777" w:rsidR="00612E97" w:rsidRPr="00B179B9" w:rsidRDefault="00612E97" w:rsidP="00C96EF3">
      <w:pPr>
        <w:pStyle w:val="ListParagraph"/>
        <w:numPr>
          <w:ilvl w:val="1"/>
          <w:numId w:val="53"/>
        </w:numPr>
        <w:jc w:val="both"/>
        <w:rPr>
          <w:rFonts w:ascii="Arial" w:hAnsi="Arial" w:cs="Arial"/>
        </w:rPr>
      </w:pPr>
      <w:r w:rsidRPr="00B179B9">
        <w:rPr>
          <w:rFonts w:ascii="Arial" w:hAnsi="Arial" w:cs="Arial"/>
        </w:rPr>
        <w:t>The cost of the land,</w:t>
      </w:r>
    </w:p>
    <w:p w14:paraId="452E8430" w14:textId="77777777" w:rsidR="00612E97" w:rsidRPr="00B179B9" w:rsidRDefault="00612E97" w:rsidP="00C96EF3">
      <w:pPr>
        <w:pStyle w:val="ListParagraph"/>
        <w:numPr>
          <w:ilvl w:val="1"/>
          <w:numId w:val="53"/>
        </w:numPr>
        <w:jc w:val="both"/>
        <w:rPr>
          <w:rFonts w:ascii="Arial" w:hAnsi="Arial" w:cs="Arial"/>
        </w:rPr>
      </w:pPr>
      <w:r w:rsidRPr="00B179B9">
        <w:rPr>
          <w:rFonts w:ascii="Arial" w:hAnsi="Arial" w:cs="Arial"/>
        </w:rPr>
        <w:t>Any portion of the cost of buildings purchased in part or in full by or donated by the Federal Government, and</w:t>
      </w:r>
    </w:p>
    <w:p w14:paraId="2491EF8B" w14:textId="77777777" w:rsidR="00612E97" w:rsidRPr="00B179B9" w:rsidRDefault="00612E97" w:rsidP="00C96EF3">
      <w:pPr>
        <w:pStyle w:val="ListParagraph"/>
        <w:numPr>
          <w:ilvl w:val="1"/>
          <w:numId w:val="53"/>
        </w:numPr>
        <w:jc w:val="both"/>
        <w:rPr>
          <w:rFonts w:ascii="Arial" w:hAnsi="Arial" w:cs="Arial"/>
        </w:rPr>
      </w:pPr>
      <w:r w:rsidRPr="00B179B9">
        <w:rPr>
          <w:rFonts w:ascii="Arial" w:hAnsi="Arial" w:cs="Arial"/>
        </w:rPr>
        <w:t>Any portion of the cost of buildings contributed by or for the organization, in satisfaction of a matching requirement.</w:t>
      </w:r>
    </w:p>
    <w:p w14:paraId="0D9F73A0" w14:textId="77777777" w:rsidR="00612E97" w:rsidRPr="00B179B9" w:rsidRDefault="00612E97" w:rsidP="00C96EF3">
      <w:pPr>
        <w:pStyle w:val="ListParagraph"/>
        <w:numPr>
          <w:ilvl w:val="0"/>
          <w:numId w:val="53"/>
        </w:numPr>
        <w:jc w:val="both"/>
        <w:rPr>
          <w:rFonts w:ascii="Arial" w:hAnsi="Arial" w:cs="Arial"/>
        </w:rPr>
      </w:pPr>
      <w:r w:rsidRPr="00B179B9">
        <w:rPr>
          <w:rFonts w:ascii="Arial" w:hAnsi="Arial" w:cs="Arial"/>
        </w:rPr>
        <w:t>Depreciation methods once used shall not be changed unless approved by the Federal cognizant or awarding agency.</w:t>
      </w:r>
    </w:p>
    <w:p w14:paraId="39238995" w14:textId="77777777" w:rsidR="00612E97" w:rsidRPr="00B179B9" w:rsidRDefault="00612E97" w:rsidP="00C96EF3">
      <w:pPr>
        <w:pStyle w:val="ListParagraph"/>
        <w:numPr>
          <w:ilvl w:val="0"/>
          <w:numId w:val="53"/>
        </w:numPr>
        <w:jc w:val="both"/>
        <w:rPr>
          <w:rFonts w:ascii="Arial" w:hAnsi="Arial" w:cs="Arial"/>
        </w:rPr>
      </w:pPr>
      <w:r w:rsidRPr="00B179B9">
        <w:rPr>
          <w:rFonts w:ascii="Arial" w:hAnsi="Arial" w:cs="Arial"/>
        </w:rPr>
        <w:t xml:space="preserve">If the use allowance method is followed, the use allowance will be computed at an annual rate not to exceed two (2) percent of the acquisition costs. </w:t>
      </w:r>
    </w:p>
    <w:p w14:paraId="2361E568" w14:textId="77777777" w:rsidR="00612E97" w:rsidRPr="00B179B9" w:rsidRDefault="00612E97" w:rsidP="00C96EF3">
      <w:pPr>
        <w:pStyle w:val="ListParagraph"/>
        <w:numPr>
          <w:ilvl w:val="0"/>
          <w:numId w:val="53"/>
        </w:numPr>
        <w:jc w:val="both"/>
        <w:rPr>
          <w:rFonts w:ascii="Arial" w:hAnsi="Arial" w:cs="Arial"/>
        </w:rPr>
      </w:pPr>
      <w:r w:rsidRPr="00B179B9">
        <w:rPr>
          <w:rFonts w:ascii="Arial" w:hAnsi="Arial" w:cs="Arial"/>
        </w:rPr>
        <w:t>Charges for use allowance or depreciation must be supported by adequate property records. Physical inventories must be taken at least once every two years to ensure the asset exists and is in use.</w:t>
      </w:r>
    </w:p>
    <w:p w14:paraId="7DAA9D2C" w14:textId="77777777" w:rsidR="00612E97" w:rsidRPr="008F69BA" w:rsidRDefault="00612E97" w:rsidP="00C96EF3">
      <w:pPr>
        <w:pStyle w:val="ListParagraph"/>
        <w:numPr>
          <w:ilvl w:val="0"/>
          <w:numId w:val="53"/>
        </w:numPr>
        <w:spacing w:after="240"/>
        <w:jc w:val="both"/>
        <w:rPr>
          <w:rFonts w:ascii="Arial" w:hAnsi="Arial" w:cs="Arial"/>
        </w:rPr>
      </w:pPr>
      <w:r w:rsidRPr="00B179B9">
        <w:rPr>
          <w:rFonts w:ascii="Arial" w:hAnsi="Arial" w:cs="Arial"/>
        </w:rPr>
        <w:t>When the depreciation method is followed, depreciation records indicating the amount of depreciation taken each period must also be maintained</w:t>
      </w:r>
    </w:p>
    <w:p w14:paraId="155C8B63" w14:textId="77777777" w:rsidR="00612E97" w:rsidRPr="00B179B9" w:rsidRDefault="00612E97" w:rsidP="00612E97">
      <w:pPr>
        <w:spacing w:after="240"/>
        <w:jc w:val="both"/>
        <w:rPr>
          <w:rFonts w:ascii="Arial" w:hAnsi="Arial" w:cs="Arial"/>
        </w:rPr>
      </w:pPr>
      <w:r w:rsidRPr="003D4B44">
        <w:rPr>
          <w:rFonts w:ascii="Arial" w:hAnsi="Arial" w:cs="Arial"/>
        </w:rPr>
        <w:t>See Appendix 11 for depreciation log with instructions.</w:t>
      </w:r>
    </w:p>
    <w:p w14:paraId="1A5C05BF" w14:textId="77777777" w:rsidR="00612E97" w:rsidRDefault="00612E97" w:rsidP="00612E97">
      <w:pPr>
        <w:autoSpaceDE w:val="0"/>
        <w:autoSpaceDN w:val="0"/>
        <w:adjustRightInd w:val="0"/>
        <w:spacing w:after="240"/>
        <w:jc w:val="both"/>
        <w:rPr>
          <w:rFonts w:ascii="Arial" w:hAnsi="Arial" w:cs="Arial"/>
          <w:b/>
          <w:bCs/>
        </w:rPr>
      </w:pPr>
      <w:r w:rsidRPr="00B179B9">
        <w:rPr>
          <w:rFonts w:ascii="Arial" w:hAnsi="Arial" w:cs="Arial"/>
        </w:rPr>
        <w:t>Example: A local not-for-profit agency purchases a building for $1,000,000 by obtaining a $500,000 U.S.D.A. loan and $500,000 from a local bank. The maximum acquisition cost the not-for-profit agency can depreciate is $500,000. Using the IRS guidelines for commercial buildings, a useful life of 39 years is considered reasonable. If the organization’s written capitalization policy uses the straight-line method of depreciation, the following is the mathematical calculation for annual depreciation: $500,000/39 years = $12,820 annual depreciation. The organization could therefore charge each of their programs a fair-share percentage of the annual depreciation up to $12,820.</w:t>
      </w:r>
    </w:p>
    <w:p w14:paraId="57552D61"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b/>
          <w:bCs/>
        </w:rPr>
        <w:t>Note: Please refer to the Other Direct Costs definitions posted on the GMIS bulletin board. The definitions are updated as new line items are added.</w:t>
      </w:r>
    </w:p>
    <w:p w14:paraId="5EA5A30B" w14:textId="21B642C1" w:rsidR="00612E97" w:rsidRPr="00612E97" w:rsidRDefault="00612E97" w:rsidP="00AA5B05">
      <w:pPr>
        <w:spacing w:after="240"/>
        <w:jc w:val="both"/>
        <w:rPr>
          <w:rFonts w:ascii="Arial" w:hAnsi="Arial" w:cs="Arial"/>
          <w:i/>
        </w:rPr>
      </w:pPr>
      <w:r w:rsidRPr="00B470E4">
        <w:rPr>
          <w:rFonts w:ascii="Arial" w:hAnsi="Arial" w:cs="Arial"/>
          <w:i/>
        </w:rPr>
        <w:t>(Source: OGA</w:t>
      </w:r>
      <w:r w:rsidR="002822F6">
        <w:rPr>
          <w:rFonts w:ascii="Arial" w:hAnsi="Arial" w:cs="Arial"/>
          <w:i/>
        </w:rPr>
        <w:t>P</w:t>
      </w:r>
      <w:r w:rsidRPr="00B470E4">
        <w:rPr>
          <w:rFonts w:ascii="Arial" w:hAnsi="Arial" w:cs="Arial"/>
          <w:i/>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B470E4">
        <w:rPr>
          <w:rFonts w:ascii="Arial" w:hAnsi="Arial" w:cs="Arial"/>
          <w:i/>
        </w:rPr>
        <w:t>)</w:t>
      </w:r>
    </w:p>
    <w:p w14:paraId="57EFB075" w14:textId="77777777" w:rsidR="00E41AA1" w:rsidRPr="00A0464C" w:rsidRDefault="00072C5E" w:rsidP="00F00D94">
      <w:pPr>
        <w:pStyle w:val="Heading3"/>
        <w:rPr>
          <w:sz w:val="24"/>
          <w:szCs w:val="24"/>
        </w:rPr>
      </w:pPr>
      <w:bookmarkStart w:id="36" w:name="_Toc188606062"/>
      <w:r w:rsidRPr="00A0464C">
        <w:rPr>
          <w:sz w:val="24"/>
          <w:szCs w:val="24"/>
        </w:rPr>
        <w:lastRenderedPageBreak/>
        <w:t>Audit Objectives</w:t>
      </w:r>
      <w:r w:rsidR="00EF51CC" w:rsidRPr="00A0464C">
        <w:rPr>
          <w:sz w:val="24"/>
          <w:szCs w:val="24"/>
        </w:rPr>
        <w:t xml:space="preserve"> and Control Testing</w:t>
      </w:r>
      <w:bookmarkEnd w:id="3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96EF3">
      <w:pPr>
        <w:pStyle w:val="ListParagraph"/>
        <w:widowControl w:val="0"/>
        <w:numPr>
          <w:ilvl w:val="0"/>
          <w:numId w:val="29"/>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C96EF3">
      <w:pPr>
        <w:pStyle w:val="ListParagraph"/>
        <w:widowControl w:val="0"/>
        <w:numPr>
          <w:ilvl w:val="0"/>
          <w:numId w:val="29"/>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7" w:name="_Toc18860606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8" w:name="_Toc188606064"/>
      <w:r w:rsidRPr="00A0464C">
        <w:rPr>
          <w:rFonts w:cs="Arial"/>
          <w:sz w:val="24"/>
          <w:szCs w:val="24"/>
        </w:rPr>
        <w:t>Audit Implications Summary</w:t>
      </w:r>
      <w:bookmarkEnd w:id="3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0516E6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96EF3">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96EF3">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96EF3">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96EF3">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96EF3">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9" w:name="_Toc442267689"/>
      <w:bookmarkStart w:id="40" w:name="_Toc188606065"/>
      <w:r w:rsidRPr="00A0464C">
        <w:rPr>
          <w:rFonts w:cs="Arial"/>
          <w:sz w:val="24"/>
        </w:rPr>
        <w:lastRenderedPageBreak/>
        <w:t>B.  ALLOWABLE COSTS/COST PRINCIPLES</w:t>
      </w:r>
      <w:bookmarkEnd w:id="39"/>
      <w:bookmarkEnd w:id="4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96EF3">
      <w:pPr>
        <w:pStyle w:val="ListParagraph"/>
        <w:numPr>
          <w:ilvl w:val="0"/>
          <w:numId w:val="38"/>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96BAE6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2"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3"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96EF3">
      <w:pPr>
        <w:pStyle w:val="ListParagraph"/>
        <w:numPr>
          <w:ilvl w:val="0"/>
          <w:numId w:val="38"/>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96EF3">
      <w:pPr>
        <w:pStyle w:val="ListParagraph"/>
        <w:numPr>
          <w:ilvl w:val="0"/>
          <w:numId w:val="38"/>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bookmarkStart w:id="41"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1"/>
      <w:r w:rsidR="00AA5B05" w:rsidRPr="00AA5B05">
        <w:rPr>
          <w:rFonts w:ascii="Arial" w:hAnsi="Arial" w:cs="Arial"/>
          <w:b/>
          <w:bCs/>
          <w:highlight w:val="yellow"/>
        </w:rPr>
        <w:t>.</w:t>
      </w:r>
    </w:p>
    <w:p w14:paraId="2A34D6A8" w14:textId="7E166327" w:rsidR="00650D18" w:rsidRPr="00AA5B05" w:rsidRDefault="00AA5B05" w:rsidP="00C96EF3">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96EF3">
      <w:pPr>
        <w:pStyle w:val="ListParagraph"/>
        <w:numPr>
          <w:ilvl w:val="0"/>
          <w:numId w:val="38"/>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C96EF3">
      <w:pPr>
        <w:pStyle w:val="ListParagraph"/>
        <w:numPr>
          <w:ilvl w:val="2"/>
          <w:numId w:val="38"/>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C96EF3">
      <w:pPr>
        <w:pStyle w:val="ListParagraph"/>
        <w:numPr>
          <w:ilvl w:val="2"/>
          <w:numId w:val="38"/>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96EF3">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96EF3">
      <w:pPr>
        <w:pStyle w:val="ListParagraph"/>
        <w:numPr>
          <w:ilvl w:val="0"/>
          <w:numId w:val="38"/>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96EF3">
      <w:pPr>
        <w:pStyle w:val="ListParagraph"/>
        <w:numPr>
          <w:ilvl w:val="1"/>
          <w:numId w:val="38"/>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96EF3">
      <w:pPr>
        <w:pStyle w:val="ListParagraph"/>
        <w:numPr>
          <w:ilvl w:val="1"/>
          <w:numId w:val="38"/>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2" w:name="B___ALLOWABLE_COSTS_COST_PRINCIPLES"/>
      <w:bookmarkStart w:id="43" w:name="_Toc188606066"/>
      <w:bookmarkEnd w:id="42"/>
      <w:r w:rsidRPr="009365AA">
        <w:rPr>
          <w:rFonts w:cs="Arial"/>
          <w:sz w:val="24"/>
          <w:szCs w:val="24"/>
        </w:rPr>
        <w:t>Applicability of Cost Principles</w:t>
      </w:r>
      <w:bookmarkEnd w:id="43"/>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4F8800A4"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4"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C96EF3">
      <w:pPr>
        <w:pStyle w:val="ListParagraph"/>
        <w:numPr>
          <w:ilvl w:val="0"/>
          <w:numId w:val="27"/>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221D0A0" w:rsidR="00545700" w:rsidRPr="00F00D94" w:rsidRDefault="00545700" w:rsidP="006672EA">
      <w:pPr>
        <w:spacing w:after="240"/>
        <w:jc w:val="both"/>
        <w:rPr>
          <w:rFonts w:ascii="Arial" w:hAnsi="Arial" w:cs="Arial"/>
        </w:rPr>
      </w:pPr>
      <w:hyperlink r:id="rId45"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0CD6829" w14:textId="40A7CB92" w:rsidR="00C96EF3" w:rsidRPr="00C96EF3" w:rsidRDefault="00C96EF3" w:rsidP="00681DA8">
      <w:pPr>
        <w:pStyle w:val="ListParagraph"/>
        <w:numPr>
          <w:ilvl w:val="0"/>
          <w:numId w:val="71"/>
        </w:numPr>
        <w:tabs>
          <w:tab w:val="right" w:leader="dot" w:pos="9360"/>
        </w:tabs>
        <w:spacing w:after="240"/>
        <w:ind w:left="360"/>
        <w:jc w:val="both"/>
        <w:rPr>
          <w:rFonts w:ascii="Arial" w:hAnsi="Arial" w:cs="Arial"/>
          <w:bCs/>
          <w:i/>
          <w:iCs/>
        </w:rPr>
      </w:pPr>
      <w:r w:rsidRPr="00C96EF3">
        <w:rPr>
          <w:rFonts w:ascii="Arial" w:hAnsi="Arial" w:cs="Arial"/>
          <w:bCs/>
          <w:i/>
          <w:iCs/>
        </w:rPr>
        <w:t>Applicable Credits</w:t>
      </w:r>
      <w:r w:rsidR="00F513EA">
        <w:rPr>
          <w:rFonts w:ascii="Arial" w:hAnsi="Arial" w:cs="Arial"/>
          <w:bCs/>
          <w:i/>
          <w:iCs/>
        </w:rPr>
        <w:t xml:space="preserve"> – </w:t>
      </w:r>
      <w:r w:rsidR="00F513EA" w:rsidRPr="00F513EA">
        <w:rPr>
          <w:rFonts w:ascii="Arial" w:hAnsi="Arial" w:cs="Arial"/>
          <w:bCs/>
          <w:i/>
          <w:iCs/>
          <w:color w:val="002060"/>
        </w:rPr>
        <w:t>Requirements only apply at State level</w:t>
      </w:r>
    </w:p>
    <w:p w14:paraId="167DB63F" w14:textId="34640671" w:rsidR="00C96EF3" w:rsidRPr="00C96EF3" w:rsidRDefault="00C96EF3" w:rsidP="00681DA8">
      <w:pPr>
        <w:tabs>
          <w:tab w:val="right" w:leader="dot" w:pos="9360"/>
        </w:tabs>
        <w:spacing w:after="240"/>
        <w:ind w:left="-360" w:firstLine="720"/>
        <w:jc w:val="both"/>
        <w:rPr>
          <w:rFonts w:ascii="Arial" w:hAnsi="Arial" w:cs="Arial"/>
          <w:bCs/>
          <w:iCs/>
        </w:rPr>
      </w:pPr>
      <w:r w:rsidRPr="00C96EF3">
        <w:rPr>
          <w:rFonts w:ascii="Arial" w:hAnsi="Arial" w:cs="Arial"/>
          <w:bCs/>
          <w:iCs/>
        </w:rPr>
        <w:t>The following items are credits against current vendor billings or prior expenditures:</w:t>
      </w:r>
    </w:p>
    <w:p w14:paraId="0055BB85" w14:textId="56BDDAFB" w:rsidR="00C96EF3" w:rsidRPr="00C96EF3" w:rsidRDefault="00C96EF3" w:rsidP="00681DA8">
      <w:pPr>
        <w:pStyle w:val="ListParagraph"/>
        <w:numPr>
          <w:ilvl w:val="0"/>
          <w:numId w:val="72"/>
        </w:numPr>
        <w:tabs>
          <w:tab w:val="right" w:leader="dot" w:pos="9360"/>
        </w:tabs>
        <w:spacing w:after="240"/>
        <w:ind w:left="720"/>
        <w:jc w:val="both"/>
        <w:rPr>
          <w:rFonts w:ascii="Arial" w:hAnsi="Arial" w:cs="Arial"/>
          <w:bCs/>
          <w:iCs/>
        </w:rPr>
      </w:pPr>
      <w:r w:rsidRPr="00C96EF3">
        <w:rPr>
          <w:rFonts w:ascii="Arial" w:hAnsi="Arial" w:cs="Arial"/>
          <w:bCs/>
          <w:i/>
        </w:rPr>
        <w:t>Rebates</w:t>
      </w:r>
      <w:r w:rsidRPr="00C96EF3">
        <w:rPr>
          <w:rFonts w:ascii="Arial" w:hAnsi="Arial" w:cs="Arial"/>
          <w:bCs/>
          <w:iCs/>
        </w:rPr>
        <w:t xml:space="preserve"> – Rebates are credits for food costs that are reported in the month in which the rebate was received (7 CFR section 246.14(f)).</w:t>
      </w:r>
    </w:p>
    <w:p w14:paraId="5E2B715F" w14:textId="6D8BB58F" w:rsidR="00C96EF3" w:rsidRPr="00C96EF3" w:rsidRDefault="00C96EF3" w:rsidP="00681DA8">
      <w:pPr>
        <w:pStyle w:val="ListParagraph"/>
        <w:numPr>
          <w:ilvl w:val="0"/>
          <w:numId w:val="72"/>
        </w:numPr>
        <w:tabs>
          <w:tab w:val="right" w:leader="dot" w:pos="9360"/>
        </w:tabs>
        <w:spacing w:after="240"/>
        <w:ind w:left="720"/>
        <w:jc w:val="both"/>
        <w:rPr>
          <w:rFonts w:ascii="Arial" w:hAnsi="Arial" w:cs="Arial"/>
          <w:bCs/>
          <w:iCs/>
        </w:rPr>
      </w:pPr>
      <w:r w:rsidRPr="00C96EF3">
        <w:rPr>
          <w:rFonts w:ascii="Arial" w:hAnsi="Arial" w:cs="Arial"/>
          <w:bCs/>
          <w:i/>
        </w:rPr>
        <w:t>Vendor Collections</w:t>
      </w:r>
      <w:r w:rsidRPr="00C96EF3">
        <w:rPr>
          <w:rFonts w:ascii="Arial" w:hAnsi="Arial" w:cs="Arial"/>
          <w:bCs/>
          <w:iCs/>
        </w:rPr>
        <w:t xml:space="preserve"> – Post-payment vendor collections are funds collected through claims assessed against food vendors for errors and overcharges. Pre-payment vendor collections are improper payments prevented as a result of reviews of FIs or CVVs prior to payment; they are credits against vendor billings.</w:t>
      </w:r>
    </w:p>
    <w:p w14:paraId="4C0B765D" w14:textId="6B437E9A" w:rsidR="00C96EF3" w:rsidRPr="00C96EF3" w:rsidRDefault="00C96EF3" w:rsidP="00681DA8">
      <w:pPr>
        <w:pStyle w:val="ListParagraph"/>
        <w:numPr>
          <w:ilvl w:val="0"/>
          <w:numId w:val="72"/>
        </w:numPr>
        <w:tabs>
          <w:tab w:val="right" w:leader="dot" w:pos="9360"/>
        </w:tabs>
        <w:spacing w:after="240"/>
        <w:ind w:left="720"/>
        <w:jc w:val="both"/>
        <w:rPr>
          <w:rFonts w:ascii="Arial" w:hAnsi="Arial" w:cs="Arial"/>
          <w:bCs/>
          <w:iCs/>
        </w:rPr>
      </w:pPr>
      <w:r w:rsidRPr="00C96EF3">
        <w:rPr>
          <w:rFonts w:ascii="Arial" w:hAnsi="Arial" w:cs="Arial"/>
          <w:bCs/>
          <w:i/>
        </w:rPr>
        <w:t>Participant Collections</w:t>
      </w:r>
      <w:r w:rsidRPr="00C96EF3">
        <w:rPr>
          <w:rFonts w:ascii="Arial" w:hAnsi="Arial" w:cs="Arial"/>
          <w:bCs/>
          <w:iCs/>
        </w:rPr>
        <w:t xml:space="preserve"> – These are recoveries of improperly issued food benefits as the result of a participant, guardian, or caretaker intentionally making a false or misleading statement or withholding information.</w:t>
      </w:r>
    </w:p>
    <w:p w14:paraId="25DB93E1" w14:textId="4761C8FB" w:rsidR="00C96EF3" w:rsidRPr="00C96EF3" w:rsidRDefault="00C96EF3" w:rsidP="00681DA8">
      <w:pPr>
        <w:pStyle w:val="ListParagraph"/>
        <w:numPr>
          <w:ilvl w:val="0"/>
          <w:numId w:val="72"/>
        </w:numPr>
        <w:tabs>
          <w:tab w:val="right" w:leader="dot" w:pos="9360"/>
        </w:tabs>
        <w:spacing w:after="240"/>
        <w:ind w:left="720"/>
        <w:jc w:val="both"/>
        <w:rPr>
          <w:rFonts w:ascii="Arial" w:hAnsi="Arial" w:cs="Arial"/>
          <w:bCs/>
          <w:iCs/>
        </w:rPr>
      </w:pPr>
      <w:r w:rsidRPr="00C96EF3">
        <w:rPr>
          <w:rFonts w:ascii="Arial" w:hAnsi="Arial" w:cs="Arial"/>
          <w:bCs/>
          <w:i/>
        </w:rPr>
        <w:t>Local Agency Collections</w:t>
      </w:r>
      <w:r w:rsidRPr="00C96EF3">
        <w:rPr>
          <w:rFonts w:ascii="Arial" w:hAnsi="Arial" w:cs="Arial"/>
          <w:bCs/>
          <w:iCs/>
        </w:rPr>
        <w:t xml:space="preserve"> – These are funds collected as a result of claims assessed against local agencies for program funds that were misused or otherwise diverted from program purposes due to local agency negligence or fraud.</w:t>
      </w:r>
    </w:p>
    <w:p w14:paraId="0F39AE1B" w14:textId="3E7124B0" w:rsidR="00C96EF3" w:rsidRPr="00C96EF3" w:rsidRDefault="00C96EF3" w:rsidP="00681DA8">
      <w:pPr>
        <w:tabs>
          <w:tab w:val="right" w:leader="dot" w:pos="9360"/>
        </w:tabs>
        <w:spacing w:after="240"/>
        <w:ind w:left="360"/>
        <w:jc w:val="both"/>
        <w:rPr>
          <w:rFonts w:ascii="Arial" w:hAnsi="Arial" w:cs="Arial"/>
          <w:bCs/>
          <w:iCs/>
        </w:rPr>
      </w:pPr>
      <w:r w:rsidRPr="00C96EF3">
        <w:rPr>
          <w:rFonts w:ascii="Arial" w:hAnsi="Arial" w:cs="Arial"/>
          <w:bCs/>
          <w:iCs/>
        </w:rPr>
        <w:t>A state agency must recognize, use, and account for these items in accordance with WIC program regulations. At its discretion, the state agency may credit vendor, participant, and local agency collections against expenditures for food and/or NSA costs. The state agency may apply vendor, participant, and local agency collections to food and/or NSA expenditures of: (1) the fiscal year in which the initial obligation was made; (2) the fiscal year in which the claim arose;</w:t>
      </w:r>
      <w:r>
        <w:rPr>
          <w:rFonts w:ascii="Arial" w:hAnsi="Arial" w:cs="Arial"/>
          <w:bCs/>
          <w:iCs/>
        </w:rPr>
        <w:t xml:space="preserve"> </w:t>
      </w:r>
      <w:r w:rsidRPr="00C96EF3">
        <w:rPr>
          <w:rFonts w:ascii="Arial" w:hAnsi="Arial" w:cs="Arial"/>
          <w:bCs/>
          <w:iCs/>
        </w:rPr>
        <w:t>(3) the fiscal year in which the collection is received; or (4) the fiscal year following the fiscal year in which the collection is received (42 USC 1786(f)(21); 7 CFR section 246.14(e)).</w:t>
      </w:r>
    </w:p>
    <w:p w14:paraId="482CE45B" w14:textId="2FEB13C8" w:rsidR="00C96EF3" w:rsidRPr="00C96EF3" w:rsidRDefault="00C96EF3" w:rsidP="00681DA8">
      <w:pPr>
        <w:pStyle w:val="ListParagraph"/>
        <w:numPr>
          <w:ilvl w:val="0"/>
          <w:numId w:val="71"/>
        </w:numPr>
        <w:tabs>
          <w:tab w:val="right" w:leader="dot" w:pos="9360"/>
        </w:tabs>
        <w:spacing w:after="240"/>
        <w:ind w:left="360"/>
        <w:jc w:val="both"/>
        <w:rPr>
          <w:rFonts w:ascii="Arial" w:hAnsi="Arial" w:cs="Arial"/>
          <w:bCs/>
          <w:i/>
        </w:rPr>
      </w:pPr>
      <w:r w:rsidRPr="00C96EF3">
        <w:rPr>
          <w:rFonts w:ascii="Arial" w:hAnsi="Arial" w:cs="Arial"/>
          <w:bCs/>
          <w:i/>
        </w:rPr>
        <w:t>Capital Expenditures</w:t>
      </w:r>
    </w:p>
    <w:p w14:paraId="79612B4C" w14:textId="3729843A" w:rsidR="00C96EF3" w:rsidRDefault="00C96EF3" w:rsidP="00681DA8">
      <w:pPr>
        <w:pStyle w:val="ListParagraph"/>
        <w:numPr>
          <w:ilvl w:val="0"/>
          <w:numId w:val="73"/>
        </w:numPr>
        <w:tabs>
          <w:tab w:val="right" w:leader="dot" w:pos="9360"/>
        </w:tabs>
        <w:spacing w:after="240"/>
        <w:ind w:left="720"/>
        <w:jc w:val="both"/>
        <w:rPr>
          <w:rFonts w:ascii="Arial" w:hAnsi="Arial" w:cs="Arial"/>
          <w:bCs/>
          <w:iCs/>
        </w:rPr>
      </w:pPr>
      <w:r w:rsidRPr="00C96EF3">
        <w:rPr>
          <w:rFonts w:ascii="Arial" w:hAnsi="Arial" w:cs="Arial"/>
          <w:bCs/>
          <w:iCs/>
        </w:rPr>
        <w:t>FNS has authorized WIC state and local agencies to charge the full acquisition cost of non-computer equipment costing less than $25,000 per unit without obtaining prior FNS approval, and to allow local agencies under their oversight to do likewise. FNS regional offices retain the discretion to apply a lower dollar threshold to an individual state agency and to the local agencies under its oversight, provided certain requirements apply and the state agency receives written notice.</w:t>
      </w:r>
    </w:p>
    <w:p w14:paraId="0B0CB0DB" w14:textId="51ACA9A3" w:rsidR="00F513EA" w:rsidRPr="00F513EA" w:rsidRDefault="00F513EA" w:rsidP="00F513EA">
      <w:pPr>
        <w:pStyle w:val="ListParagraph"/>
        <w:tabs>
          <w:tab w:val="right" w:leader="dot" w:pos="9360"/>
        </w:tabs>
        <w:spacing w:after="240"/>
        <w:jc w:val="both"/>
        <w:rPr>
          <w:rFonts w:ascii="Arial" w:hAnsi="Arial" w:cs="Arial"/>
          <w:bCs/>
          <w:i/>
          <w:color w:val="002060"/>
        </w:rPr>
      </w:pPr>
      <w:r w:rsidRPr="00F513EA">
        <w:rPr>
          <w:rFonts w:ascii="Arial" w:hAnsi="Arial" w:cs="Arial"/>
          <w:bCs/>
          <w:i/>
          <w:color w:val="002060"/>
        </w:rPr>
        <w:t>The following requirements only apply at State level</w:t>
      </w:r>
      <w:r>
        <w:rPr>
          <w:rFonts w:ascii="Arial" w:hAnsi="Arial" w:cs="Arial"/>
          <w:bCs/>
          <w:i/>
          <w:color w:val="002060"/>
        </w:rPr>
        <w:t>:</w:t>
      </w:r>
    </w:p>
    <w:p w14:paraId="2EAD0F5E" w14:textId="241FF284" w:rsidR="00C96EF3" w:rsidRPr="00C96EF3" w:rsidRDefault="00C96EF3" w:rsidP="00681DA8">
      <w:pPr>
        <w:pStyle w:val="ListParagraph"/>
        <w:numPr>
          <w:ilvl w:val="0"/>
          <w:numId w:val="73"/>
        </w:numPr>
        <w:tabs>
          <w:tab w:val="right" w:leader="dot" w:pos="9360"/>
        </w:tabs>
        <w:spacing w:after="240"/>
        <w:ind w:left="720"/>
        <w:jc w:val="both"/>
        <w:rPr>
          <w:rFonts w:ascii="Arial" w:hAnsi="Arial" w:cs="Arial"/>
          <w:bCs/>
          <w:iCs/>
        </w:rPr>
      </w:pPr>
      <w:r w:rsidRPr="00C96EF3">
        <w:rPr>
          <w:rFonts w:ascii="Arial" w:hAnsi="Arial" w:cs="Arial"/>
          <w:bCs/>
          <w:iCs/>
        </w:rPr>
        <w:t xml:space="preserve">Automated Data Processing (ADP) projects. FNS requires WIC state agencies to obtain prior approval to incur costs for certain ADP projects and to provide notification and/or documentation </w:t>
      </w:r>
      <w:r w:rsidRPr="00C96EF3">
        <w:rPr>
          <w:rFonts w:ascii="Arial" w:hAnsi="Arial" w:cs="Arial"/>
          <w:bCs/>
          <w:iCs/>
        </w:rPr>
        <w:lastRenderedPageBreak/>
        <w:t>for others (7 CFR section 246.14(d)). Approval procedures are in FNS Handbook 901, Advance Planning Document Handbook.</w:t>
      </w:r>
    </w:p>
    <w:p w14:paraId="0986EDD8" w14:textId="2DDD7A5B" w:rsidR="00C96EF3" w:rsidRPr="00C96EF3" w:rsidRDefault="00C96EF3" w:rsidP="00681DA8">
      <w:pPr>
        <w:tabs>
          <w:tab w:val="right" w:leader="dot" w:pos="9360"/>
        </w:tabs>
        <w:spacing w:after="240"/>
        <w:ind w:left="-360" w:firstLine="1080"/>
        <w:jc w:val="both"/>
        <w:rPr>
          <w:rFonts w:ascii="Arial" w:hAnsi="Arial" w:cs="Arial"/>
          <w:bCs/>
          <w:iCs/>
        </w:rPr>
      </w:pPr>
      <w:r w:rsidRPr="00C96EF3">
        <w:rPr>
          <w:rFonts w:ascii="Arial" w:hAnsi="Arial" w:cs="Arial"/>
          <w:bCs/>
          <w:iCs/>
        </w:rPr>
        <w:t>Approval levels are as follows:</w:t>
      </w:r>
    </w:p>
    <w:p w14:paraId="145E8A57" w14:textId="33E93EBA" w:rsidR="00C96EF3" w:rsidRPr="00C96EF3" w:rsidRDefault="00C96EF3" w:rsidP="00681DA8">
      <w:pPr>
        <w:pStyle w:val="ListParagraph"/>
        <w:numPr>
          <w:ilvl w:val="0"/>
          <w:numId w:val="74"/>
        </w:numPr>
        <w:tabs>
          <w:tab w:val="right" w:leader="dot" w:pos="9360"/>
        </w:tabs>
        <w:spacing w:after="240"/>
        <w:ind w:left="1080"/>
        <w:jc w:val="both"/>
        <w:rPr>
          <w:rFonts w:ascii="Arial" w:hAnsi="Arial" w:cs="Arial"/>
          <w:bCs/>
          <w:iCs/>
        </w:rPr>
      </w:pPr>
      <w:r w:rsidRPr="00C96EF3">
        <w:rPr>
          <w:rFonts w:ascii="Arial" w:hAnsi="Arial" w:cs="Arial"/>
          <w:bCs/>
          <w:iCs/>
        </w:rPr>
        <w:t>A state agency must notify the applicable FNS regional office within 60 days of the initial expenditure or contract award for an ADP project costing in excess of $4,999 but less than $100,000; and</w:t>
      </w:r>
    </w:p>
    <w:p w14:paraId="3A04E360" w14:textId="186133E8" w:rsidR="00C96EF3" w:rsidRPr="00C96EF3" w:rsidRDefault="00C96EF3" w:rsidP="00681DA8">
      <w:pPr>
        <w:pStyle w:val="ListParagraph"/>
        <w:numPr>
          <w:ilvl w:val="0"/>
          <w:numId w:val="74"/>
        </w:numPr>
        <w:tabs>
          <w:tab w:val="right" w:leader="dot" w:pos="9360"/>
        </w:tabs>
        <w:spacing w:after="240"/>
        <w:ind w:left="1080"/>
        <w:jc w:val="both"/>
        <w:rPr>
          <w:rFonts w:ascii="Arial" w:hAnsi="Arial" w:cs="Arial"/>
          <w:bCs/>
          <w:iCs/>
        </w:rPr>
      </w:pPr>
      <w:r w:rsidRPr="00C96EF3">
        <w:rPr>
          <w:rFonts w:ascii="Arial" w:hAnsi="Arial" w:cs="Arial"/>
          <w:bCs/>
          <w:iCs/>
        </w:rPr>
        <w:t>A state agency must receive prior approval for (a) an ADP project that has a cost greater than $99,999; or (b) any ADP project associated with planning, developing, or deploying a new automation system.</w:t>
      </w:r>
    </w:p>
    <w:p w14:paraId="26965187" w14:textId="4589295E" w:rsidR="00434AE4" w:rsidRPr="00434AE4" w:rsidRDefault="00434AE4" w:rsidP="00434AE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4" w:name="_Toc188606067"/>
      <w:r w:rsidRPr="00FA4759">
        <w:rPr>
          <w:rFonts w:cs="Arial"/>
          <w:sz w:val="24"/>
          <w:szCs w:val="24"/>
        </w:rPr>
        <w:t>Additional Program Specific Information</w:t>
      </w:r>
      <w:bookmarkEnd w:id="44"/>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6D7BF2D5" w:rsidR="00CD5DC7" w:rsidRPr="00612E97" w:rsidRDefault="00CD5DC7"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E249625" w14:textId="7B016CD0" w:rsidR="006E46AD" w:rsidRPr="00AA5B05" w:rsidRDefault="006E46AD"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32CD26F" w14:textId="77777777" w:rsidR="006550AB" w:rsidRPr="009B1C87" w:rsidRDefault="006550AB" w:rsidP="006550AB">
      <w:pPr>
        <w:pStyle w:val="ListParagraph"/>
        <w:numPr>
          <w:ilvl w:val="0"/>
          <w:numId w:val="81"/>
        </w:numPr>
        <w:spacing w:after="240"/>
        <w:jc w:val="both"/>
        <w:rPr>
          <w:rFonts w:ascii="Arial" w:hAnsi="Arial" w:cs="Arial"/>
        </w:rPr>
      </w:pPr>
      <w:r w:rsidRPr="009B1C87">
        <w:rPr>
          <w:rFonts w:ascii="Arial" w:hAnsi="Arial" w:cs="Arial"/>
        </w:rPr>
        <w:t>Subrecipients’ indirect costs proposal must comply with the Federal Funder’s terms as delineated in the Federal Funding Announcement. A Federal grantor may limit, allow or disallow indirect costs. The ODH subrecipient’s budget must reflect the limitations defined in the Federal Funding Announcement.</w:t>
      </w:r>
    </w:p>
    <w:p w14:paraId="0991AD97" w14:textId="77777777" w:rsidR="006550AB" w:rsidRPr="009B1C87" w:rsidRDefault="006550AB" w:rsidP="006550AB">
      <w:pPr>
        <w:pStyle w:val="ListParagraph"/>
        <w:numPr>
          <w:ilvl w:val="0"/>
          <w:numId w:val="81"/>
        </w:numPr>
        <w:spacing w:after="240"/>
        <w:jc w:val="both"/>
        <w:rPr>
          <w:rFonts w:ascii="Arial" w:hAnsi="Arial" w:cs="Arial"/>
        </w:rPr>
      </w:pPr>
      <w:r w:rsidRPr="009B1C87">
        <w:rPr>
          <w:rFonts w:ascii="Arial" w:hAnsi="Arial" w:cs="Arial"/>
        </w:rPr>
        <w:lastRenderedPageBreak/>
        <w:t>Uniform Administrative Requirements, Cost Principles, and Audit for Federal Awards Rule (Title 2 Code of Federal Regulations) allow subrecipients to include indirect costs in subgrant applications. Subrecipients may choose one of the following options with regard to indirect costs:</w:t>
      </w:r>
    </w:p>
    <w:p w14:paraId="34BD3559" w14:textId="77777777" w:rsidR="006550AB" w:rsidRPr="009B1C87" w:rsidRDefault="006550AB" w:rsidP="006550AB">
      <w:pPr>
        <w:pStyle w:val="ListParagraph"/>
        <w:numPr>
          <w:ilvl w:val="1"/>
          <w:numId w:val="81"/>
        </w:numPr>
        <w:spacing w:after="240"/>
        <w:jc w:val="both"/>
        <w:rPr>
          <w:rFonts w:ascii="Arial" w:hAnsi="Arial" w:cs="Arial"/>
        </w:rPr>
      </w:pPr>
      <w:r w:rsidRPr="009B1C87">
        <w:rPr>
          <w:rFonts w:ascii="Arial" w:hAnsi="Arial" w:cs="Arial"/>
        </w:rPr>
        <w:t>Negotiate and execute an Indirect Cost Rate Agreement with the Federal Funder and base the subrecipient application budget on said agreement. In this instance, the agreement must be submitted in GMIS as an attachment to the application;</w:t>
      </w:r>
    </w:p>
    <w:p w14:paraId="59B479B6" w14:textId="77777777" w:rsidR="006550AB" w:rsidRPr="009B1C87" w:rsidRDefault="006550AB" w:rsidP="006550AB">
      <w:pPr>
        <w:pStyle w:val="ListParagraph"/>
        <w:numPr>
          <w:ilvl w:val="1"/>
          <w:numId w:val="81"/>
        </w:numPr>
        <w:spacing w:after="240"/>
        <w:jc w:val="both"/>
        <w:rPr>
          <w:rFonts w:ascii="Arial" w:hAnsi="Arial" w:cs="Arial"/>
        </w:rPr>
      </w:pPr>
      <w:r w:rsidRPr="009B1C87">
        <w:rPr>
          <w:rFonts w:ascii="Arial" w:hAnsi="Arial" w:cs="Arial"/>
        </w:rPr>
        <w:t>If the subrecipient has not executed a federally approved Indirect Cost Rate Agreement, the subrecipient may elect to charge a de minimis rate of 10% of modified total direct costs (MTDC) which may be used indefinitely.</w:t>
      </w:r>
    </w:p>
    <w:p w14:paraId="7BAE27E9" w14:textId="77777777" w:rsidR="006550AB" w:rsidRPr="009B1C87" w:rsidRDefault="006550AB" w:rsidP="006550AB">
      <w:pPr>
        <w:pStyle w:val="ListParagraph"/>
        <w:numPr>
          <w:ilvl w:val="2"/>
          <w:numId w:val="81"/>
        </w:numPr>
        <w:spacing w:after="240"/>
        <w:jc w:val="both"/>
        <w:rPr>
          <w:rFonts w:ascii="Arial" w:hAnsi="Arial" w:cs="Arial"/>
        </w:rPr>
      </w:pPr>
      <w:r w:rsidRPr="009B1C87">
        <w:rPr>
          <w:rFonts w:ascii="Arial" w:hAnsi="Arial" w:cs="Arial"/>
        </w:rPr>
        <w:t>Sub-part A § 200.68 of the Federal Uniform Administrative Requirements defines Modified Total Direct Cost as “….all direct salaries and wages, applicable fringe benefits, materials and supplies, services, travel, and sub-awards and subcontracts up to the first $25,000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$25,000. Other items may only be excluded when necessary to avoid a serious inequity in the distribution of indirect costs, and with the approval of the cognizant agency for indirect costs.”; or,</w:t>
      </w:r>
    </w:p>
    <w:p w14:paraId="633E0BF4" w14:textId="77777777" w:rsidR="006550AB" w:rsidRPr="009B1C87" w:rsidRDefault="006550AB" w:rsidP="006550AB">
      <w:pPr>
        <w:pStyle w:val="ListParagraph"/>
        <w:numPr>
          <w:ilvl w:val="2"/>
          <w:numId w:val="81"/>
        </w:numPr>
        <w:spacing w:after="240"/>
        <w:jc w:val="both"/>
        <w:rPr>
          <w:rFonts w:ascii="Arial" w:hAnsi="Arial" w:cs="Arial"/>
        </w:rPr>
      </w:pPr>
      <w:r w:rsidRPr="009B1C87">
        <w:rPr>
          <w:rFonts w:ascii="Arial" w:hAnsi="Arial" w:cs="Arial"/>
        </w:rPr>
        <w:t>Base the budget solely upon direct costs.</w:t>
      </w:r>
    </w:p>
    <w:p w14:paraId="5E5D88A6" w14:textId="77777777" w:rsidR="006550AB" w:rsidRPr="00B64FD7" w:rsidRDefault="006550AB" w:rsidP="006550AB">
      <w:pPr>
        <w:pStyle w:val="ListParagraph"/>
        <w:numPr>
          <w:ilvl w:val="0"/>
          <w:numId w:val="81"/>
        </w:numPr>
        <w:spacing w:after="240"/>
        <w:jc w:val="both"/>
        <w:rPr>
          <w:rFonts w:ascii="Arial" w:hAnsi="Arial" w:cs="Arial"/>
        </w:rPr>
      </w:pPr>
      <w:r w:rsidRPr="00B64FD7">
        <w:rPr>
          <w:rFonts w:ascii="Arial" w:hAnsi="Arial" w:cs="Arial"/>
        </w:rPr>
        <w:t>If a subrecipient gains a federally approved indirect cost agreement during a subgrant budget period, it may submit a budget revision during the first two quarters of the budget period.</w:t>
      </w:r>
    </w:p>
    <w:p w14:paraId="45502F8E" w14:textId="77777777" w:rsidR="006550AB" w:rsidRPr="00D256C4" w:rsidRDefault="006550AB" w:rsidP="006550AB">
      <w:pPr>
        <w:pStyle w:val="ListParagraph"/>
        <w:numPr>
          <w:ilvl w:val="0"/>
          <w:numId w:val="81"/>
        </w:numPr>
        <w:spacing w:after="240"/>
        <w:jc w:val="both"/>
        <w:rPr>
          <w:rFonts w:ascii="Arial" w:hAnsi="Arial" w:cs="Arial"/>
          <w:iCs/>
        </w:rPr>
      </w:pPr>
      <w:r w:rsidRPr="00B64FD7">
        <w:rPr>
          <w:rFonts w:ascii="Arial" w:hAnsi="Arial" w:cs="Arial"/>
        </w:rPr>
        <w:t>The NOA amount includes any indirect costs budgeted. Including indirect costs in your subgrant application budget does not result in an increase in the Notice of Award amount.</w:t>
      </w:r>
    </w:p>
    <w:p w14:paraId="303D3FF7" w14:textId="77777777" w:rsidR="006550AB" w:rsidRPr="00380457" w:rsidRDefault="006550AB" w:rsidP="006550AB">
      <w:pPr>
        <w:pStyle w:val="ListParagraph"/>
        <w:numPr>
          <w:ilvl w:val="0"/>
          <w:numId w:val="81"/>
        </w:numPr>
        <w:spacing w:after="240"/>
        <w:jc w:val="both"/>
        <w:rPr>
          <w:rFonts w:ascii="Arial" w:hAnsi="Arial" w:cs="Arial"/>
          <w:iCs/>
        </w:rPr>
      </w:pPr>
      <w:r>
        <w:rPr>
          <w:rFonts w:ascii="Arial" w:hAnsi="Arial" w:cs="Arial"/>
        </w:rPr>
        <w:t>Indirect Cost Rate Agreement Updates – De Minimis Rate Increase</w:t>
      </w:r>
    </w:p>
    <w:p w14:paraId="38CBB75B" w14:textId="77777777" w:rsidR="006550AB" w:rsidRPr="009B1C87" w:rsidRDefault="006550AB" w:rsidP="006550AB">
      <w:pPr>
        <w:pStyle w:val="ListParagraph"/>
        <w:numPr>
          <w:ilvl w:val="1"/>
          <w:numId w:val="81"/>
        </w:numPr>
        <w:spacing w:after="240"/>
        <w:jc w:val="both"/>
        <w:rPr>
          <w:rFonts w:ascii="Arial" w:hAnsi="Arial" w:cs="Arial"/>
        </w:rPr>
      </w:pPr>
      <w:r w:rsidRPr="009B1C87">
        <w:rPr>
          <w:rFonts w:ascii="Arial" w:hAnsi="Arial" w:cs="Arial"/>
        </w:rPr>
        <w:t>If the subrecipient has not executed a federally approved Indirect Cost Rate Agreement, the subrecipient may elect to charge a de minimis rate of 1</w:t>
      </w:r>
      <w:r>
        <w:rPr>
          <w:rFonts w:ascii="Arial" w:hAnsi="Arial" w:cs="Arial"/>
        </w:rPr>
        <w:t>5</w:t>
      </w:r>
      <w:r w:rsidRPr="009B1C87">
        <w:rPr>
          <w:rFonts w:ascii="Arial" w:hAnsi="Arial" w:cs="Arial"/>
        </w:rPr>
        <w:t>% of modified total direct costs (MTDC) which may be used indefinitely</w:t>
      </w:r>
      <w:r>
        <w:rPr>
          <w:rFonts w:ascii="Arial" w:hAnsi="Arial" w:cs="Arial"/>
        </w:rPr>
        <w:t xml:space="preserve"> effective 10/1/2024.</w:t>
      </w:r>
    </w:p>
    <w:p w14:paraId="7A45E29D" w14:textId="77777777" w:rsidR="006550AB" w:rsidRPr="00EF03E5" w:rsidRDefault="006550AB" w:rsidP="006550AB">
      <w:pPr>
        <w:pStyle w:val="ListParagraph"/>
        <w:numPr>
          <w:ilvl w:val="1"/>
          <w:numId w:val="81"/>
        </w:numPr>
        <w:spacing w:after="240"/>
        <w:jc w:val="both"/>
        <w:rPr>
          <w:rFonts w:ascii="Arial" w:hAnsi="Arial" w:cs="Arial"/>
          <w:iCs/>
        </w:rPr>
      </w:pPr>
      <w:r>
        <w:rPr>
          <w:rFonts w:ascii="Arial" w:hAnsi="Arial" w:cs="Arial"/>
          <w:iCs/>
        </w:rPr>
        <w:t xml:space="preserve"> GMIS Bulletin Board Notification Reminder</w:t>
      </w:r>
    </w:p>
    <w:p w14:paraId="6613A8F4" w14:textId="77777777" w:rsidR="006550AB" w:rsidRPr="00DC7491" w:rsidRDefault="006550AB" w:rsidP="006550AB">
      <w:pPr>
        <w:pStyle w:val="ListParagraph"/>
        <w:numPr>
          <w:ilvl w:val="1"/>
          <w:numId w:val="81"/>
        </w:numPr>
        <w:spacing w:after="240"/>
        <w:jc w:val="both"/>
        <w:rPr>
          <w:rFonts w:ascii="Arial" w:hAnsi="Arial" w:cs="Arial"/>
          <w:iCs/>
        </w:rPr>
      </w:pPr>
      <w:r>
        <w:rPr>
          <w:noProof/>
        </w:rPr>
        <w:drawing>
          <wp:inline distT="0" distB="0" distL="0" distR="0" wp14:anchorId="5525893F" wp14:editId="1C0F2276">
            <wp:extent cx="5943600" cy="879475"/>
            <wp:effectExtent l="0" t="0" r="0" b="0"/>
            <wp:docPr id="834182545"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2545" name="Picture 1" descr="Graphical user interface, text, application&#10;&#10;Description automatically generated"/>
                    <pic:cNvPicPr/>
                  </pic:nvPicPr>
                  <pic:blipFill>
                    <a:blip r:embed="rId46"/>
                    <a:stretch>
                      <a:fillRect/>
                    </a:stretch>
                  </pic:blipFill>
                  <pic:spPr>
                    <a:xfrm>
                      <a:off x="0" y="0"/>
                      <a:ext cx="5943600" cy="879475"/>
                    </a:xfrm>
                    <a:prstGeom prst="rect">
                      <a:avLst/>
                    </a:prstGeom>
                  </pic:spPr>
                </pic:pic>
              </a:graphicData>
            </a:graphic>
          </wp:inline>
        </w:drawing>
      </w:r>
    </w:p>
    <w:p w14:paraId="3E343F19" w14:textId="0267DD58" w:rsidR="006550AB" w:rsidRPr="006550AB" w:rsidRDefault="006550AB" w:rsidP="003D439B">
      <w:pPr>
        <w:spacing w:after="240"/>
        <w:jc w:val="both"/>
        <w:rPr>
          <w:rFonts w:ascii="Arial" w:hAnsi="Arial" w:cs="Arial"/>
          <w:i/>
        </w:rPr>
      </w:pPr>
      <w:r w:rsidRPr="00631BF2">
        <w:rPr>
          <w:rFonts w:ascii="Arial" w:hAnsi="Arial" w:cs="Arial"/>
          <w:i/>
        </w:rPr>
        <w:t xml:space="preserve">(Source: Shannon Coleman and David McKinnon, Ohio Department of Health on </w:t>
      </w:r>
      <w:r>
        <w:rPr>
          <w:rFonts w:ascii="Arial" w:hAnsi="Arial" w:cs="Arial"/>
          <w:i/>
        </w:rPr>
        <w:t>12/16/2024</w:t>
      </w:r>
      <w:r w:rsidRPr="00631BF2">
        <w:rPr>
          <w:rFonts w:ascii="Arial" w:hAnsi="Arial" w:cs="Arial"/>
          <w:i/>
        </w:rPr>
        <w:t xml:space="preserve"> &amp; </w:t>
      </w:r>
      <w:hyperlink r:id="rId47" w:history="1">
        <w:r w:rsidRPr="00B71AFE">
          <w:rPr>
            <w:rStyle w:val="Hyperlink"/>
            <w:rFonts w:cs="Arial"/>
            <w:i/>
          </w:rPr>
          <w:t>GMIS Bulletin dated 11/06/2024</w:t>
        </w:r>
      </w:hyperlink>
      <w:r w:rsidRPr="00631BF2">
        <w:rPr>
          <w:rFonts w:ascii="Arial" w:hAnsi="Arial" w:cs="Arial"/>
          <w:i/>
        </w:rPr>
        <w:t>)</w:t>
      </w:r>
    </w:p>
    <w:p w14:paraId="14561A18" w14:textId="77777777" w:rsidR="00612E97" w:rsidRPr="00B179B9" w:rsidRDefault="00612E97" w:rsidP="00612E97">
      <w:pPr>
        <w:autoSpaceDE w:val="0"/>
        <w:autoSpaceDN w:val="0"/>
        <w:adjustRightInd w:val="0"/>
        <w:spacing w:after="240"/>
        <w:jc w:val="both"/>
        <w:rPr>
          <w:rFonts w:ascii="Arial" w:hAnsi="Arial" w:cs="Arial"/>
          <w:b/>
          <w:bCs/>
          <w:color w:val="000000"/>
        </w:rPr>
      </w:pPr>
      <w:r w:rsidRPr="00B179B9">
        <w:rPr>
          <w:rFonts w:ascii="Arial" w:hAnsi="Arial" w:cs="Arial"/>
          <w:b/>
          <w:u w:val="single"/>
        </w:rPr>
        <w:t>Ohio Department of Health</w:t>
      </w:r>
    </w:p>
    <w:p w14:paraId="4633CCCE" w14:textId="77777777" w:rsidR="00612E97" w:rsidRPr="00B179B9" w:rsidRDefault="00612E97" w:rsidP="00612E97">
      <w:pPr>
        <w:autoSpaceDE w:val="0"/>
        <w:autoSpaceDN w:val="0"/>
        <w:adjustRightInd w:val="0"/>
        <w:spacing w:after="240"/>
        <w:jc w:val="both"/>
        <w:rPr>
          <w:rFonts w:ascii="Arial" w:hAnsi="Arial" w:cs="Arial"/>
          <w:b/>
          <w:bCs/>
          <w:color w:val="000000"/>
        </w:rPr>
      </w:pPr>
      <w:r w:rsidRPr="00B179B9">
        <w:rPr>
          <w:rFonts w:ascii="Arial" w:hAnsi="Arial" w:cs="Arial"/>
          <w:b/>
          <w:bCs/>
          <w:color w:val="000000"/>
        </w:rPr>
        <w:t>B2.0 Cost Principles</w:t>
      </w:r>
    </w:p>
    <w:p w14:paraId="4C44DC9E"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lastRenderedPageBreak/>
        <w:t>Cost principles dictate that subrecipients employ sound management practices when administering ODH grants. Subrecipients must conduct project-related activities in a manner consistent with underlying agreements, project objectives, and the terms and conditions of the grant.</w:t>
      </w:r>
    </w:p>
    <w:p w14:paraId="08D074D1"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The Office of Management and Budget New Uniform Guidance at </w:t>
      </w:r>
      <w:hyperlink r:id="rId48" w:history="1">
        <w:r w:rsidRPr="00680E83">
          <w:rPr>
            <w:rStyle w:val="Hyperlink"/>
            <w:rFonts w:cs="Arial"/>
          </w:rPr>
          <w:t>http://www.ecfr.gov</w:t>
        </w:r>
      </w:hyperlink>
      <w:r w:rsidRPr="00B179B9">
        <w:rPr>
          <w:rFonts w:ascii="Arial" w:hAnsi="Arial" w:cs="Arial"/>
          <w:color w:val="0000FF"/>
        </w:rPr>
        <w:t xml:space="preserve"> </w:t>
      </w:r>
      <w:r w:rsidRPr="00B179B9">
        <w:rPr>
          <w:rFonts w:ascii="Arial" w:hAnsi="Arial" w:cs="Arial"/>
          <w:color w:val="000000"/>
        </w:rPr>
        <w:t>are federal documents that establish standards for determining costs applicable to federal grants. These principles apply as a matter of policy to the expenditures of all grant funds at ODH. To be allowable under a project program, costs must meet the general criteria established within the OMB Uniform Guidance and Costs Circulars.</w:t>
      </w:r>
    </w:p>
    <w:p w14:paraId="401E1A1E" w14:textId="77777777" w:rsidR="00612E97" w:rsidRPr="00B179B9" w:rsidRDefault="00612E97" w:rsidP="00612E97">
      <w:pPr>
        <w:autoSpaceDE w:val="0"/>
        <w:autoSpaceDN w:val="0"/>
        <w:adjustRightInd w:val="0"/>
        <w:spacing w:after="240"/>
        <w:jc w:val="both"/>
        <w:rPr>
          <w:rFonts w:ascii="Arial" w:hAnsi="Arial" w:cs="Arial"/>
          <w:b/>
        </w:rPr>
      </w:pPr>
      <w:r w:rsidRPr="00B179B9">
        <w:rPr>
          <w:rFonts w:ascii="Arial" w:hAnsi="Arial" w:cs="Arial"/>
          <w:color w:val="000000"/>
        </w:rPr>
        <w:t>Budgeted estimates or other distribution percentages determined prior to the performance of services or the delivery of goods do not qualify as proper support for charges to Federal awards. Only documented actual charges should be charged to the award for goods and services.</w:t>
      </w:r>
    </w:p>
    <w:p w14:paraId="5DDCC079" w14:textId="77777777" w:rsidR="00612E97" w:rsidRPr="00B179B9" w:rsidRDefault="00612E97" w:rsidP="00612E97">
      <w:pPr>
        <w:spacing w:after="240"/>
        <w:jc w:val="both"/>
        <w:rPr>
          <w:rFonts w:ascii="Arial" w:hAnsi="Arial" w:cs="Arial"/>
          <w:b/>
        </w:rPr>
      </w:pPr>
      <w:r w:rsidRPr="00B179B9">
        <w:rPr>
          <w:rFonts w:ascii="Arial" w:hAnsi="Arial" w:cs="Arial"/>
          <w:b/>
        </w:rPr>
        <w:t>B2.1 Allowable Costs</w:t>
      </w:r>
    </w:p>
    <w:p w14:paraId="78D0B80C" w14:textId="77777777" w:rsidR="00612E97" w:rsidRPr="00B179B9" w:rsidRDefault="00612E97" w:rsidP="00612E97">
      <w:pPr>
        <w:spacing w:after="240"/>
        <w:jc w:val="both"/>
        <w:rPr>
          <w:rFonts w:ascii="Arial" w:hAnsi="Arial" w:cs="Arial"/>
        </w:rPr>
      </w:pPr>
      <w:r w:rsidRPr="00B179B9">
        <w:rPr>
          <w:rFonts w:ascii="Arial" w:hAnsi="Arial" w:cs="Arial"/>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p>
    <w:p w14:paraId="7A31993F" w14:textId="77777777" w:rsidR="00612E97" w:rsidRPr="00B179B9" w:rsidRDefault="00612E97" w:rsidP="00612E97">
      <w:pPr>
        <w:spacing w:after="240"/>
        <w:jc w:val="both"/>
        <w:rPr>
          <w:rFonts w:ascii="Arial" w:hAnsi="Arial" w:cs="Arial"/>
        </w:rPr>
      </w:pPr>
      <w:r w:rsidRPr="00B179B9">
        <w:rPr>
          <w:rFonts w:ascii="Arial" w:hAnsi="Arial" w:cs="Arial"/>
        </w:rPr>
        <w:t>The NOA, which constitutes approval of the original program budget or a subsequently approved budget revision, is used to approve line item expenditures as allowable costs.</w:t>
      </w:r>
    </w:p>
    <w:p w14:paraId="5BD0ED83" w14:textId="77777777" w:rsidR="00612E97" w:rsidRPr="00B179B9" w:rsidRDefault="00612E97" w:rsidP="00612E97">
      <w:pPr>
        <w:spacing w:after="240"/>
        <w:jc w:val="both"/>
        <w:rPr>
          <w:rFonts w:ascii="Arial" w:hAnsi="Arial" w:cs="Arial"/>
        </w:rPr>
      </w:pPr>
      <w:r w:rsidRPr="00B179B9">
        <w:rPr>
          <w:rFonts w:ascii="Arial" w:hAnsi="Arial" w:cs="Arial"/>
        </w:rPr>
        <w:t>To be allowable under ODH, subrecipient project costs must be budgeted and must meet the following general criteria:</w:t>
      </w:r>
    </w:p>
    <w:p w14:paraId="79349C85" w14:textId="77777777" w:rsidR="00612E97" w:rsidRPr="008F69BA" w:rsidRDefault="00612E97" w:rsidP="00C96EF3">
      <w:pPr>
        <w:pStyle w:val="ListParagraph"/>
        <w:numPr>
          <w:ilvl w:val="0"/>
          <w:numId w:val="54"/>
        </w:numPr>
        <w:jc w:val="both"/>
        <w:rPr>
          <w:rFonts w:ascii="Arial" w:hAnsi="Arial" w:cs="Arial"/>
        </w:rPr>
      </w:pPr>
      <w:r w:rsidRPr="00B179B9">
        <w:rPr>
          <w:rFonts w:ascii="Arial" w:hAnsi="Arial" w:cs="Arial"/>
        </w:rPr>
        <w:t>Be necessary and reasonable for proper and efficient performance and administration of the program; be allocable to the program under the proper cost principle, and not be a general expense required to carry out overall agency responsibilities;</w:t>
      </w:r>
    </w:p>
    <w:p w14:paraId="726583AA" w14:textId="77777777" w:rsidR="00612E97" w:rsidRPr="008F69BA" w:rsidRDefault="00612E97" w:rsidP="00C96EF3">
      <w:pPr>
        <w:pStyle w:val="ListParagraph"/>
        <w:numPr>
          <w:ilvl w:val="0"/>
          <w:numId w:val="54"/>
        </w:numPr>
        <w:jc w:val="both"/>
        <w:rPr>
          <w:rFonts w:ascii="Arial" w:hAnsi="Arial" w:cs="Arial"/>
        </w:rPr>
      </w:pPr>
      <w:r w:rsidRPr="00B179B9">
        <w:rPr>
          <w:rFonts w:ascii="Arial" w:hAnsi="Arial" w:cs="Arial"/>
        </w:rPr>
        <w:t>Be authorized or not prohibited under State or local laws or regulations;</w:t>
      </w:r>
    </w:p>
    <w:p w14:paraId="3B78F995" w14:textId="77777777" w:rsidR="00612E97" w:rsidRPr="008F69BA" w:rsidRDefault="00612E97" w:rsidP="00C96EF3">
      <w:pPr>
        <w:pStyle w:val="ListParagraph"/>
        <w:numPr>
          <w:ilvl w:val="0"/>
          <w:numId w:val="54"/>
        </w:numPr>
        <w:jc w:val="both"/>
        <w:rPr>
          <w:rFonts w:ascii="Arial" w:hAnsi="Arial" w:cs="Arial"/>
        </w:rPr>
      </w:pPr>
      <w:r w:rsidRPr="00B179B9">
        <w:rPr>
          <w:rFonts w:ascii="Arial" w:hAnsi="Arial" w:cs="Arial"/>
        </w:rPr>
        <w:t>Conform to OGAPP guidelines and any limitations or exclusions set forth in Federal or State laws, terms and conditions of the award, or other governing regulation/limitations on types or amount of cost items;</w:t>
      </w:r>
    </w:p>
    <w:p w14:paraId="2B0BA777" w14:textId="77777777" w:rsidR="00612E97" w:rsidRPr="00B179B9" w:rsidRDefault="00612E97" w:rsidP="00C96EF3">
      <w:pPr>
        <w:pStyle w:val="ListParagraph"/>
        <w:numPr>
          <w:ilvl w:val="0"/>
          <w:numId w:val="54"/>
        </w:numPr>
        <w:jc w:val="both"/>
        <w:rPr>
          <w:rFonts w:ascii="Arial" w:hAnsi="Arial" w:cs="Arial"/>
        </w:rPr>
      </w:pPr>
      <w:r w:rsidRPr="00B179B9">
        <w:rPr>
          <w:rFonts w:ascii="Arial" w:hAnsi="Arial" w:cs="Arial"/>
        </w:rPr>
        <w:t>Be consistent with policies, regulations, and procedures that apply uniformly to both Federal or State awards and other activities of the subrecipient agency;</w:t>
      </w:r>
    </w:p>
    <w:p w14:paraId="79244E01" w14:textId="77777777" w:rsidR="00612E97" w:rsidRPr="00B179B9" w:rsidRDefault="00612E97" w:rsidP="00C96EF3">
      <w:pPr>
        <w:pStyle w:val="ListParagraph"/>
        <w:numPr>
          <w:ilvl w:val="0"/>
          <w:numId w:val="54"/>
        </w:numPr>
        <w:jc w:val="both"/>
        <w:rPr>
          <w:rFonts w:ascii="Arial" w:hAnsi="Arial" w:cs="Arial"/>
        </w:rPr>
      </w:pPr>
      <w:r w:rsidRPr="00B179B9">
        <w:rPr>
          <w:rFonts w:ascii="Arial" w:hAnsi="Arial" w:cs="Arial"/>
        </w:rPr>
        <w:t>Be accorded consistent treatment through the application of generally accepted accounting principles appropriate to the circumstances;</w:t>
      </w:r>
    </w:p>
    <w:p w14:paraId="00D16B09" w14:textId="77777777" w:rsidR="00612E97" w:rsidRPr="00B179B9" w:rsidRDefault="00612E97" w:rsidP="00C96EF3">
      <w:pPr>
        <w:pStyle w:val="ListParagraph"/>
        <w:numPr>
          <w:ilvl w:val="0"/>
          <w:numId w:val="54"/>
        </w:numPr>
        <w:jc w:val="both"/>
        <w:rPr>
          <w:rFonts w:ascii="Arial" w:hAnsi="Arial" w:cs="Arial"/>
        </w:rPr>
      </w:pPr>
      <w:r w:rsidRPr="00B179B9">
        <w:rPr>
          <w:rFonts w:ascii="Arial" w:hAnsi="Arial" w:cs="Arial"/>
        </w:rPr>
        <w:t>Be supported by adequate documentation;</w:t>
      </w:r>
    </w:p>
    <w:p w14:paraId="7D03F6AE" w14:textId="77777777" w:rsidR="00612E97" w:rsidRPr="00B179B9" w:rsidRDefault="00612E97" w:rsidP="00C96EF3">
      <w:pPr>
        <w:pStyle w:val="ListParagraph"/>
        <w:numPr>
          <w:ilvl w:val="0"/>
          <w:numId w:val="54"/>
        </w:numPr>
        <w:jc w:val="both"/>
        <w:rPr>
          <w:rFonts w:ascii="Arial" w:hAnsi="Arial" w:cs="Arial"/>
        </w:rPr>
      </w:pPr>
      <w:r w:rsidRPr="00B179B9">
        <w:rPr>
          <w:rFonts w:ascii="Arial" w:hAnsi="Arial" w:cs="Arial"/>
        </w:rPr>
        <w:t>Not be allocable to or included as a cost or used to meet cost sharing or matching requirements of any other state or federally funded program in either the current or a prior period; and</w:t>
      </w:r>
    </w:p>
    <w:p w14:paraId="1C1B7D2E" w14:textId="77777777" w:rsidR="00612E97" w:rsidRPr="00B179B9" w:rsidRDefault="00612E97" w:rsidP="00C96EF3">
      <w:pPr>
        <w:pStyle w:val="ListParagraph"/>
        <w:numPr>
          <w:ilvl w:val="0"/>
          <w:numId w:val="54"/>
        </w:numPr>
        <w:spacing w:after="240"/>
        <w:jc w:val="both"/>
        <w:rPr>
          <w:rFonts w:ascii="Arial" w:hAnsi="Arial" w:cs="Arial"/>
        </w:rPr>
      </w:pPr>
      <w:r w:rsidRPr="00B179B9">
        <w:rPr>
          <w:rFonts w:ascii="Arial" w:hAnsi="Arial" w:cs="Arial"/>
        </w:rPr>
        <w:t>Are net of applicable credits (refers to those receipts or reductions of expenditure-type transactions that offset or reduce expense items allocable to Federal awards as direct costs). This may include vendor rebates, discounts, or refunds granted to project expenditures.</w:t>
      </w:r>
    </w:p>
    <w:p w14:paraId="659E186A" w14:textId="77777777" w:rsidR="00612E97" w:rsidRPr="00B179B9" w:rsidRDefault="00612E97" w:rsidP="00612E97">
      <w:pPr>
        <w:spacing w:after="240"/>
        <w:jc w:val="both"/>
        <w:rPr>
          <w:rFonts w:ascii="Arial" w:hAnsi="Arial" w:cs="Arial"/>
        </w:rPr>
      </w:pPr>
      <w:r w:rsidRPr="00B179B9">
        <w:rPr>
          <w:rFonts w:ascii="Arial" w:hAnsi="Arial" w:cs="Arial"/>
        </w:rPr>
        <w:t>A cost is reasonable if, in its nature and amount, it does not exceed that which would be incurred by a prudent person under the circumstances prevailing at the time the decision was made to incur the cost. In determining reasonableness of a given cost, consideration shall be given to:</w:t>
      </w:r>
    </w:p>
    <w:p w14:paraId="7D1B7804" w14:textId="77777777" w:rsidR="00612E97" w:rsidRPr="008F69BA" w:rsidRDefault="00612E97" w:rsidP="00C96EF3">
      <w:pPr>
        <w:pStyle w:val="ListParagraph"/>
        <w:numPr>
          <w:ilvl w:val="0"/>
          <w:numId w:val="55"/>
        </w:numPr>
        <w:jc w:val="both"/>
        <w:rPr>
          <w:rFonts w:ascii="Arial" w:hAnsi="Arial" w:cs="Arial"/>
        </w:rPr>
      </w:pPr>
      <w:r w:rsidRPr="00B179B9">
        <w:rPr>
          <w:rFonts w:ascii="Arial" w:hAnsi="Arial" w:cs="Arial"/>
        </w:rPr>
        <w:t>Whether the cost is of a type generally recognized as ordinary and necessary for the operation of the agency or the performance of the Award;</w:t>
      </w:r>
    </w:p>
    <w:p w14:paraId="21D825AB" w14:textId="77777777" w:rsidR="00612E97" w:rsidRPr="008F69BA" w:rsidRDefault="00612E97" w:rsidP="00C96EF3">
      <w:pPr>
        <w:pStyle w:val="ListParagraph"/>
        <w:numPr>
          <w:ilvl w:val="0"/>
          <w:numId w:val="55"/>
        </w:numPr>
        <w:jc w:val="both"/>
        <w:rPr>
          <w:rFonts w:ascii="Arial" w:hAnsi="Arial" w:cs="Arial"/>
        </w:rPr>
      </w:pPr>
      <w:r w:rsidRPr="00B179B9">
        <w:rPr>
          <w:rFonts w:ascii="Arial" w:hAnsi="Arial" w:cs="Arial"/>
        </w:rPr>
        <w:t>The restraints or requirements imposed by such factors as sound business practices; arm’s length bargaining; Federal, State and other laws and regulations; and, terms and conditions of the award;</w:t>
      </w:r>
    </w:p>
    <w:p w14:paraId="7C29E078" w14:textId="77777777" w:rsidR="00612E97" w:rsidRPr="008F69BA" w:rsidRDefault="00612E97" w:rsidP="00C96EF3">
      <w:pPr>
        <w:pStyle w:val="ListParagraph"/>
        <w:numPr>
          <w:ilvl w:val="0"/>
          <w:numId w:val="55"/>
        </w:numPr>
        <w:jc w:val="both"/>
        <w:rPr>
          <w:rFonts w:ascii="Arial" w:hAnsi="Arial" w:cs="Arial"/>
        </w:rPr>
      </w:pPr>
      <w:r w:rsidRPr="00B179B9">
        <w:rPr>
          <w:rFonts w:ascii="Arial" w:hAnsi="Arial" w:cs="Arial"/>
        </w:rPr>
        <w:t>Market price for comparable goods or services;</w:t>
      </w:r>
    </w:p>
    <w:p w14:paraId="6D954324" w14:textId="77777777" w:rsidR="00612E97" w:rsidRPr="008F69BA" w:rsidRDefault="00612E97" w:rsidP="00C96EF3">
      <w:pPr>
        <w:pStyle w:val="ListParagraph"/>
        <w:numPr>
          <w:ilvl w:val="0"/>
          <w:numId w:val="55"/>
        </w:numPr>
        <w:jc w:val="both"/>
        <w:rPr>
          <w:rFonts w:ascii="Arial" w:hAnsi="Arial" w:cs="Arial"/>
        </w:rPr>
      </w:pPr>
      <w:r w:rsidRPr="00B179B9">
        <w:rPr>
          <w:rFonts w:ascii="Arial" w:hAnsi="Arial" w:cs="Arial"/>
        </w:rPr>
        <w:lastRenderedPageBreak/>
        <w:t>Whether the individuals concerned acted with prudence in the circumstances considering their responsibilities to the agency, its employees, the public, and the Federal or State Government; and</w:t>
      </w:r>
    </w:p>
    <w:p w14:paraId="123DBD7B" w14:textId="77777777" w:rsidR="00612E97" w:rsidRPr="00B179B9" w:rsidRDefault="00612E97" w:rsidP="00C96EF3">
      <w:pPr>
        <w:pStyle w:val="ListParagraph"/>
        <w:numPr>
          <w:ilvl w:val="0"/>
          <w:numId w:val="55"/>
        </w:numPr>
        <w:spacing w:after="240"/>
        <w:jc w:val="both"/>
        <w:rPr>
          <w:rFonts w:ascii="Arial" w:hAnsi="Arial" w:cs="Arial"/>
        </w:rPr>
      </w:pPr>
      <w:r w:rsidRPr="00B179B9">
        <w:rPr>
          <w:rFonts w:ascii="Arial" w:hAnsi="Arial" w:cs="Arial"/>
        </w:rPr>
        <w:t>Significant deviations from the established practices of the agency, which may unjustifiably increase the cost of the program.</w:t>
      </w:r>
    </w:p>
    <w:p w14:paraId="659AE5D5" w14:textId="77777777" w:rsidR="00612E97" w:rsidRPr="00B179B9" w:rsidRDefault="00612E97" w:rsidP="00612E97">
      <w:pPr>
        <w:spacing w:after="240"/>
        <w:jc w:val="both"/>
        <w:rPr>
          <w:rFonts w:ascii="Arial" w:hAnsi="Arial" w:cs="Arial"/>
        </w:rPr>
      </w:pPr>
      <w:r w:rsidRPr="00B179B9">
        <w:rPr>
          <w:rFonts w:ascii="Arial" w:hAnsi="Arial" w:cs="Arial"/>
          <w:b/>
          <w:bCs/>
        </w:rPr>
        <w:t>Note: If a line item is deemed noncompliant with rules and regulations, that cost will be disallowed.</w:t>
      </w:r>
    </w:p>
    <w:p w14:paraId="02700788" w14:textId="77777777" w:rsidR="00612E97" w:rsidRPr="00B179B9" w:rsidRDefault="00612E97" w:rsidP="00612E97">
      <w:pPr>
        <w:spacing w:after="240"/>
        <w:jc w:val="both"/>
        <w:rPr>
          <w:rFonts w:ascii="Arial" w:hAnsi="Arial" w:cs="Arial"/>
          <w:b/>
        </w:rPr>
      </w:pPr>
      <w:r w:rsidRPr="00B179B9">
        <w:rPr>
          <w:rFonts w:ascii="Arial" w:hAnsi="Arial" w:cs="Arial"/>
        </w:rPr>
        <w:t>Items normally considered allowable costs include but are not limited to costs pertaining to accounting, advertising for recruitment of personnel, soliciting procurement bids, books, periodicals, communications, contracts for goods and services, equipment, employee salaries and fringe benefits, employee travel and per diem, exhibits, educational or training materials, maintenance, medical and office supplies, and printing of items that benefit the project. Please refer to the Other Direct Costs definitions to determine where items should be budgeted.</w:t>
      </w:r>
    </w:p>
    <w:p w14:paraId="1EDD9625" w14:textId="77777777" w:rsidR="00612E97" w:rsidRPr="00B470E4" w:rsidRDefault="00612E97" w:rsidP="00612E97">
      <w:pPr>
        <w:spacing w:after="240"/>
        <w:jc w:val="both"/>
        <w:rPr>
          <w:rFonts w:ascii="Arial" w:hAnsi="Arial" w:cs="Arial"/>
          <w:sz w:val="18"/>
        </w:rPr>
      </w:pPr>
      <w:r w:rsidRPr="00B470E4">
        <w:rPr>
          <w:rFonts w:ascii="Arial" w:hAnsi="Arial" w:cs="Arial"/>
          <w:b/>
        </w:rPr>
        <w:t>Note</w:t>
      </w:r>
      <w:r w:rsidRPr="00B470E4">
        <w:rPr>
          <w:rFonts w:ascii="Arial" w:hAnsi="Arial" w:cs="Arial"/>
        </w:rPr>
        <w:t>: Refer to your Solicitation to determine whether Client Incentives and Enablers are allowed.</w:t>
      </w:r>
    </w:p>
    <w:p w14:paraId="35D5C397" w14:textId="77777777" w:rsidR="00612E97" w:rsidRPr="00B470E4" w:rsidRDefault="00612E97" w:rsidP="00612E97">
      <w:pPr>
        <w:spacing w:after="240"/>
        <w:jc w:val="both"/>
        <w:rPr>
          <w:rFonts w:ascii="Arial" w:hAnsi="Arial" w:cs="Arial"/>
          <w:b/>
        </w:rPr>
      </w:pPr>
      <w:r w:rsidRPr="00B470E4">
        <w:rPr>
          <w:rFonts w:ascii="Arial" w:hAnsi="Arial" w:cs="Arial"/>
          <w:b/>
        </w:rPr>
        <w:t>Even if a federal program or cost principle allows an expense, ODH reserves the right to be more restrictive and disallow the cost for simplicity or to reduce the burden of monitoring certain expenses.</w:t>
      </w:r>
    </w:p>
    <w:p w14:paraId="64BD4089"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B2.4 Personnel Costs</w:t>
      </w:r>
    </w:p>
    <w:p w14:paraId="4B61A8F3"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rPr>
        <w:t>Project funds may be used to compensate employees for the time and effort devoted specifically to the execution of a grant program. Employees are individuals that are entered into the subrecipient employment system, receive fringe benefits (i.e., unemployment and worker’s compensation), are eligible to participate in the subrecipient’s retirement program and are subject to subrecipient personnel policies. Individuals who do not meet these criteria are not considered employees but are considered contractual personnel.</w:t>
      </w:r>
    </w:p>
    <w:p w14:paraId="7C9B62AB"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Compensation of employees includes all remuneration, paid currently or accrued, for services rendered during the period of performance under the grant agreement. Remuneration includes but is not limited to wages, salaries, fringe benefits, overtime and bonus payments if the compensation is reasonable for the services being rendered. See UG Subpart E. Section 200.403, Factors affecting allowability of costs.</w:t>
      </w:r>
    </w:p>
    <w:p w14:paraId="702525A4" w14:textId="77777777" w:rsidR="00612E97" w:rsidRPr="00B179B9" w:rsidRDefault="00612E97" w:rsidP="00C96EF3">
      <w:pPr>
        <w:pStyle w:val="ListParagraph"/>
        <w:numPr>
          <w:ilvl w:val="0"/>
          <w:numId w:val="56"/>
        </w:numPr>
        <w:spacing w:after="240"/>
        <w:jc w:val="both"/>
        <w:rPr>
          <w:rFonts w:ascii="Arial" w:hAnsi="Arial" w:cs="Arial"/>
        </w:rPr>
      </w:pPr>
      <w:r w:rsidRPr="00B179B9">
        <w:rPr>
          <w:rFonts w:ascii="Arial" w:hAnsi="Arial" w:cs="Arial"/>
        </w:rPr>
        <w:t>Overtime and bonuses are chargeable to federal grant awards as long the following criteria affecting allowability are satisfied:</w:t>
      </w:r>
    </w:p>
    <w:p w14:paraId="5C21F797" w14:textId="77777777" w:rsidR="00612E97" w:rsidRPr="00B179B9" w:rsidRDefault="00612E97" w:rsidP="00C96EF3">
      <w:pPr>
        <w:pStyle w:val="ListParagraph"/>
        <w:numPr>
          <w:ilvl w:val="0"/>
          <w:numId w:val="57"/>
        </w:numPr>
        <w:jc w:val="both"/>
        <w:rPr>
          <w:rFonts w:ascii="Arial" w:hAnsi="Arial" w:cs="Arial"/>
        </w:rPr>
      </w:pPr>
      <w:r w:rsidRPr="00B179B9">
        <w:rPr>
          <w:rFonts w:ascii="Arial" w:hAnsi="Arial" w:cs="Arial"/>
        </w:rPr>
        <w:t>Be necessary and reasonable for the performance of the Federal award</w:t>
      </w:r>
    </w:p>
    <w:p w14:paraId="1E24552B" w14:textId="77777777" w:rsidR="00612E97" w:rsidRPr="00B179B9" w:rsidRDefault="00612E97" w:rsidP="00C96EF3">
      <w:pPr>
        <w:pStyle w:val="ListParagraph"/>
        <w:numPr>
          <w:ilvl w:val="0"/>
          <w:numId w:val="57"/>
        </w:numPr>
        <w:jc w:val="both"/>
        <w:rPr>
          <w:rFonts w:ascii="Arial" w:hAnsi="Arial" w:cs="Arial"/>
        </w:rPr>
      </w:pPr>
      <w:r w:rsidRPr="00B179B9">
        <w:rPr>
          <w:rFonts w:ascii="Arial" w:hAnsi="Arial" w:cs="Arial"/>
        </w:rPr>
        <w:t>Conform to any limitations or exclusions set forth in these principles or federal grant agreement as to types or amount of cost items.</w:t>
      </w:r>
    </w:p>
    <w:p w14:paraId="72E40904" w14:textId="77777777" w:rsidR="00612E97" w:rsidRPr="00B179B9" w:rsidRDefault="00612E97" w:rsidP="00612E97">
      <w:pPr>
        <w:autoSpaceDE w:val="0"/>
        <w:autoSpaceDN w:val="0"/>
        <w:adjustRightInd w:val="0"/>
        <w:ind w:left="720" w:hanging="360"/>
        <w:jc w:val="both"/>
        <w:rPr>
          <w:rFonts w:ascii="Arial" w:hAnsi="Arial" w:cs="Arial"/>
        </w:rPr>
      </w:pPr>
      <w:r w:rsidRPr="00B179B9">
        <w:rPr>
          <w:rFonts w:ascii="Arial" w:hAnsi="Arial" w:cs="Arial"/>
        </w:rPr>
        <w:t>(c)</w:t>
      </w:r>
      <w:r w:rsidRPr="00B179B9">
        <w:rPr>
          <w:rFonts w:ascii="Arial" w:hAnsi="Arial" w:cs="Arial"/>
        </w:rPr>
        <w:tab/>
        <w:t>Be consistent with policies and procedures that apply uniformly to both federally-financed and other activities of the non-Federal entity</w:t>
      </w:r>
    </w:p>
    <w:p w14:paraId="313AD9B6" w14:textId="77777777" w:rsidR="00612E97" w:rsidRPr="00B179B9" w:rsidRDefault="00612E97" w:rsidP="00612E97">
      <w:pPr>
        <w:autoSpaceDE w:val="0"/>
        <w:autoSpaceDN w:val="0"/>
        <w:adjustRightInd w:val="0"/>
        <w:spacing w:after="240"/>
        <w:ind w:left="720" w:hanging="360"/>
        <w:jc w:val="both"/>
        <w:rPr>
          <w:rFonts w:ascii="Arial" w:hAnsi="Arial" w:cs="Arial"/>
        </w:rPr>
      </w:pPr>
      <w:r w:rsidRPr="00B179B9">
        <w:rPr>
          <w:rFonts w:ascii="Arial" w:hAnsi="Arial" w:cs="Arial"/>
        </w:rPr>
        <w:t>(d)</w:t>
      </w:r>
      <w:r w:rsidRPr="00B179B9">
        <w:rPr>
          <w:rFonts w:ascii="Arial" w:hAnsi="Arial" w:cs="Arial"/>
        </w:rPr>
        <w:tab/>
        <w:t>Be accorded consistent treatment. Costs assigned to a Federal award as direct costs should not again be allocated and charged to the grant as an administrative (indirect cost) for the same purpose or work in which the costs were already incurred and reimbursed.</w:t>
      </w:r>
    </w:p>
    <w:p w14:paraId="39BEED50" w14:textId="77777777" w:rsidR="00612E97" w:rsidRPr="00B179B9" w:rsidRDefault="00612E97" w:rsidP="00C96EF3">
      <w:pPr>
        <w:pStyle w:val="ListParagraph"/>
        <w:numPr>
          <w:ilvl w:val="0"/>
          <w:numId w:val="56"/>
        </w:numPr>
        <w:spacing w:after="240"/>
        <w:jc w:val="both"/>
        <w:rPr>
          <w:rFonts w:ascii="Arial" w:hAnsi="Arial" w:cs="Arial"/>
        </w:rPr>
      </w:pPr>
      <w:r w:rsidRPr="00B179B9">
        <w:rPr>
          <w:rFonts w:ascii="Arial" w:hAnsi="Arial" w:cs="Arial"/>
        </w:rPr>
        <w:t>Even though the costs of overtime/bonuses are chargeable to federal grants, they are only allowable to the extent that the costs comply with the following guidelines:</w:t>
      </w:r>
    </w:p>
    <w:p w14:paraId="6CA2F9DD"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Comply with existing limitations based on the agency’s personnel policies, grant agreements, union contracts, etc.</w:t>
      </w:r>
    </w:p>
    <w:p w14:paraId="43589164"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The total time compensated/reported does not exceed percentage of time actually devoted to the funded project unless properly authorized.</w:t>
      </w:r>
    </w:p>
    <w:p w14:paraId="37CE77C7"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Overtime and bonuses must be allocated and charged to the grant based on the employee’s approved budget percentage(s).</w:t>
      </w:r>
    </w:p>
    <w:p w14:paraId="06D5EDF4"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lastRenderedPageBreak/>
        <w:t>Overtime salaries and wages for general clerical assistance and admin staff are normally not allowable because these costs should be included in indirect costs.</w:t>
      </w:r>
    </w:p>
    <w:p w14:paraId="58166941"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Should be disclosed in grant application or approved in writing by the pass through or Federal sponsor.</w:t>
      </w:r>
    </w:p>
    <w:p w14:paraId="6ED0C49E"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Overtime pay and bonus policies should include a methodology for determination of bonuses including amount, period basis, calculation of premium rate vs regular rate, etc.</w:t>
      </w:r>
    </w:p>
    <w:p w14:paraId="5A13D1B7"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Overtime is properly authorized and the time is sufficiently documented clearly indicating the work that is being performed and why overtime is necessary.</w:t>
      </w:r>
    </w:p>
    <w:p w14:paraId="45613E1C" w14:textId="77777777" w:rsidR="00612E97" w:rsidRPr="00B179B9" w:rsidRDefault="00612E97" w:rsidP="00C96EF3">
      <w:pPr>
        <w:pStyle w:val="ListParagraph"/>
        <w:numPr>
          <w:ilvl w:val="0"/>
          <w:numId w:val="58"/>
        </w:numPr>
        <w:jc w:val="both"/>
        <w:rPr>
          <w:rFonts w:ascii="Arial" w:hAnsi="Arial" w:cs="Arial"/>
        </w:rPr>
      </w:pPr>
      <w:r w:rsidRPr="00B179B9">
        <w:rPr>
          <w:rFonts w:ascii="Arial" w:hAnsi="Arial" w:cs="Arial"/>
        </w:rPr>
        <w:t>Overtime payments and bonuses require the use of a special account code to identify and track overtime pay and bonuses.</w:t>
      </w:r>
    </w:p>
    <w:p w14:paraId="3E988FD7" w14:textId="77777777" w:rsidR="00612E97" w:rsidRPr="008F69BA" w:rsidRDefault="00612E97" w:rsidP="00C96EF3">
      <w:pPr>
        <w:pStyle w:val="ListParagraph"/>
        <w:numPr>
          <w:ilvl w:val="0"/>
          <w:numId w:val="58"/>
        </w:numPr>
        <w:spacing w:after="240"/>
        <w:jc w:val="both"/>
        <w:rPr>
          <w:rFonts w:ascii="Arial" w:hAnsi="Arial" w:cs="Arial"/>
        </w:rPr>
      </w:pPr>
      <w:r w:rsidRPr="00B179B9">
        <w:rPr>
          <w:rFonts w:ascii="Arial" w:hAnsi="Arial" w:cs="Arial"/>
        </w:rPr>
        <w:t>Bonuses are limited to 3% of an employee’s gross wages (not including fringes) or $1,500, whichever is less. The Ohio Department of Health program administrator must approve all bonuses and enter a comment in GMIS in the project comments section.</w:t>
      </w:r>
    </w:p>
    <w:p w14:paraId="7DD2F282"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Compensation must follow the Ohio Department of Administrative Services regulations and meet federal merit system or other requirements, where applicable. </w:t>
      </w:r>
      <w:r w:rsidRPr="00B179B9">
        <w:rPr>
          <w:rFonts w:ascii="Arial" w:hAnsi="Arial" w:cs="Arial"/>
          <w:b/>
          <w:bCs/>
        </w:rPr>
        <w:t>Federal guidelines require subrecipients to</w:t>
      </w:r>
      <w:r w:rsidRPr="00B179B9">
        <w:rPr>
          <w:rFonts w:ascii="Arial" w:hAnsi="Arial" w:cs="Arial"/>
        </w:rPr>
        <w:t xml:space="preserve"> </w:t>
      </w:r>
      <w:r w:rsidRPr="00B179B9">
        <w:rPr>
          <w:rFonts w:ascii="Arial" w:hAnsi="Arial" w:cs="Arial"/>
          <w:b/>
          <w:bCs/>
        </w:rPr>
        <w:t>maintain Time and Activity or Time and Effort reporting to verify time worked for all employees</w:t>
      </w:r>
      <w:r w:rsidRPr="00B179B9">
        <w:rPr>
          <w:rFonts w:ascii="Arial" w:hAnsi="Arial" w:cs="Arial"/>
        </w:rPr>
        <w:t xml:space="preserve"> </w:t>
      </w:r>
      <w:r w:rsidRPr="00B179B9">
        <w:rPr>
          <w:rFonts w:ascii="Arial" w:hAnsi="Arial" w:cs="Arial"/>
          <w:b/>
          <w:bCs/>
        </w:rPr>
        <w:t>who are charged less than 100% to a specific funding source. See Appendix 5 for a sample of an</w:t>
      </w:r>
      <w:r w:rsidRPr="00B179B9">
        <w:rPr>
          <w:rFonts w:ascii="Arial" w:hAnsi="Arial" w:cs="Arial"/>
        </w:rPr>
        <w:t xml:space="preserve"> </w:t>
      </w:r>
      <w:r w:rsidRPr="00B179B9">
        <w:rPr>
          <w:rFonts w:ascii="Arial" w:hAnsi="Arial" w:cs="Arial"/>
          <w:b/>
          <w:bCs/>
        </w:rPr>
        <w:t>appropriate time and effort report. Staff charged at 100% must complete bi-annual</w:t>
      </w:r>
      <w:r w:rsidRPr="00B179B9">
        <w:rPr>
          <w:rFonts w:ascii="Arial" w:hAnsi="Arial" w:cs="Arial"/>
        </w:rPr>
        <w:t xml:space="preserve"> </w:t>
      </w:r>
      <w:r w:rsidRPr="00B179B9">
        <w:rPr>
          <w:rFonts w:ascii="Arial" w:hAnsi="Arial" w:cs="Arial"/>
          <w:b/>
          <w:bCs/>
        </w:rPr>
        <w:t>certifications. The certifications must include a statement certifying the employee worked 100% on</w:t>
      </w:r>
      <w:r w:rsidRPr="00B179B9">
        <w:rPr>
          <w:rFonts w:ascii="Arial" w:hAnsi="Arial" w:cs="Arial"/>
        </w:rPr>
        <w:t xml:space="preserve"> </w:t>
      </w:r>
      <w:r w:rsidRPr="00B179B9">
        <w:rPr>
          <w:rFonts w:ascii="Arial" w:hAnsi="Arial" w:cs="Arial"/>
          <w:b/>
          <w:bCs/>
        </w:rPr>
        <w:t>a specific funding source, be signed by the employee and employee’s supervisor.</w:t>
      </w:r>
    </w:p>
    <w:p w14:paraId="20AE6967"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Compensation will be considered reasonable as long as it is consistent with compensation paid for similar work in other activities of the subrecipient agency. Compensation surveys that provide data on compensation for similar jobs can be used to demonstrate reasonableness. </w:t>
      </w:r>
    </w:p>
    <w:p w14:paraId="5E0E57C7"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Compensation of employees includes employee fringe benefits. Fringe benefits includes compensation paid to employees for authorized absences from the job, such as annual leave, sick leave, court leave, and military leave, if they are provided in accordance with an approved leave system. The cost of fringe benefits must be equitably allocated to all related employee activities including program activities and the accounting basis for costing each type of leave (i.e., cash or accrual) must be consistently followed by the agency.</w:t>
      </w:r>
    </w:p>
    <w:p w14:paraId="674A5272"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Employee fringe benefits may also be in the form of employer’s contribution for items such as social security, employee life insurance and health insurance plans, unemployment insurance coverage, workers compensation insurance, pension plans, and severance pay provided such benefits are granted under approved plans and are distributed equitably to program and non-program activities. Actual claims paid to or on behalf of employees for workers’ compensation, unemployment compensation, severance pay, and similar employee benefits are allowable in the year of payment.</w:t>
      </w:r>
    </w:p>
    <w:p w14:paraId="2949C17F"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color w:val="000000"/>
        </w:rPr>
        <w:t xml:space="preserve">According to </w:t>
      </w:r>
      <w:r w:rsidRPr="00083B77">
        <w:rPr>
          <w:rFonts w:ascii="Arial" w:hAnsi="Arial" w:cs="Arial"/>
        </w:rPr>
        <w:t>45 CFR 92.23 and 2 CFR 215.22,</w:t>
      </w:r>
      <w:r w:rsidRPr="00B179B9">
        <w:rPr>
          <w:rFonts w:ascii="Arial" w:hAnsi="Arial" w:cs="Arial"/>
          <w:color w:val="000000"/>
        </w:rPr>
        <w:t xml:space="preserve"> grant funds must be expended in the grant period for which they are intended. Therefore, current funds cannot be used for past years’ expenses. It is the agency’s responsibility to budget for leave and other benefits earned during the grant period. During the grant period earned, if all leave and other benefits are not used, then the dollar value of the leave balance and other benefits earned during that grant period are allowable costs and should be maintained in an account designated by the agency. In accordance with the agency’s policies and procedures, this account would be used to cover the costs for accrued leave and other benefits earned during previous grant periods when a long-time staff person retires or leaves the agency.</w:t>
      </w:r>
    </w:p>
    <w:p w14:paraId="0D90F610"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Invoices for Workers Compensation Insurance are generally issued twice in each calendar year. Subrecipients should only report obligations for Workers’ Compensation Insurance in the period in which an invoice is received. Payments for Workers Compensation Insurance are to be reported in the project period in which the invoice is paid.</w:t>
      </w:r>
    </w:p>
    <w:p w14:paraId="0D3C7DE3"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lastRenderedPageBreak/>
        <w:t>ODH reserves the right to disapprove the use of program funds for any specific employee fringe benefit item included in the budget request if, in ODH’s opinion, the item is inconsistent with allowable cost requirements.</w:t>
      </w:r>
    </w:p>
    <w:p w14:paraId="64B6182C"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Charges to awards for personnel will be based on documented payrolls approved by designated official(s) of the organization. Detailed time and effort reports reflecting the distribution of activity of each employee must be maintained for all staff members whose compensation is charged directly to a project in order to support the allocation of costs. Such documentary support will be required where employees work on:</w:t>
      </w:r>
    </w:p>
    <w:p w14:paraId="38CA3E5B" w14:textId="77777777" w:rsidR="00612E97" w:rsidRPr="008F69BA" w:rsidRDefault="00612E97" w:rsidP="00C96EF3">
      <w:pPr>
        <w:pStyle w:val="ListParagraph"/>
        <w:numPr>
          <w:ilvl w:val="0"/>
          <w:numId w:val="59"/>
        </w:numPr>
        <w:jc w:val="both"/>
        <w:rPr>
          <w:rFonts w:ascii="Arial" w:hAnsi="Arial" w:cs="Arial"/>
        </w:rPr>
      </w:pPr>
      <w:r w:rsidRPr="00B179B9">
        <w:rPr>
          <w:rFonts w:ascii="Arial" w:hAnsi="Arial" w:cs="Arial"/>
        </w:rPr>
        <w:t>More than one federal award</w:t>
      </w:r>
    </w:p>
    <w:p w14:paraId="41C6F1E4" w14:textId="77777777" w:rsidR="00612E97" w:rsidRPr="008F69BA" w:rsidRDefault="00612E97" w:rsidP="00C96EF3">
      <w:pPr>
        <w:pStyle w:val="ListParagraph"/>
        <w:numPr>
          <w:ilvl w:val="0"/>
          <w:numId w:val="59"/>
        </w:numPr>
        <w:jc w:val="both"/>
        <w:rPr>
          <w:rFonts w:ascii="Arial" w:hAnsi="Arial" w:cs="Arial"/>
        </w:rPr>
      </w:pPr>
      <w:r w:rsidRPr="00B179B9">
        <w:rPr>
          <w:rFonts w:ascii="Arial" w:hAnsi="Arial" w:cs="Arial"/>
        </w:rPr>
        <w:t>A federal award and a non-federal award</w:t>
      </w:r>
    </w:p>
    <w:p w14:paraId="083A8096" w14:textId="77777777" w:rsidR="00612E97" w:rsidRPr="00B179B9" w:rsidRDefault="00612E97" w:rsidP="00612E97">
      <w:pPr>
        <w:autoSpaceDE w:val="0"/>
        <w:autoSpaceDN w:val="0"/>
        <w:adjustRightInd w:val="0"/>
        <w:spacing w:after="240"/>
        <w:ind w:left="360"/>
        <w:jc w:val="both"/>
        <w:rPr>
          <w:rFonts w:ascii="Arial" w:hAnsi="Arial" w:cs="Arial"/>
        </w:rPr>
      </w:pPr>
      <w:r w:rsidRPr="00B179B9">
        <w:rPr>
          <w:rFonts w:ascii="Arial" w:hAnsi="Arial" w:cs="Arial"/>
        </w:rPr>
        <w:t>3.</w:t>
      </w:r>
      <w:r w:rsidRPr="00B179B9">
        <w:rPr>
          <w:rFonts w:ascii="Arial" w:hAnsi="Arial" w:cs="Arial"/>
        </w:rPr>
        <w:tab/>
        <w:t>An indirect cost activity and a direct cost activity</w:t>
      </w:r>
    </w:p>
    <w:p w14:paraId="4763BC47" w14:textId="77777777" w:rsidR="00612E97" w:rsidRPr="008F69BA" w:rsidRDefault="00612E97" w:rsidP="00612E97">
      <w:pPr>
        <w:autoSpaceDE w:val="0"/>
        <w:autoSpaceDN w:val="0"/>
        <w:adjustRightInd w:val="0"/>
        <w:spacing w:after="240"/>
        <w:jc w:val="both"/>
        <w:rPr>
          <w:rFonts w:ascii="Arial" w:hAnsi="Arial" w:cs="Arial"/>
        </w:rPr>
      </w:pPr>
      <w:r w:rsidRPr="00B179B9">
        <w:rPr>
          <w:rFonts w:ascii="Arial" w:hAnsi="Arial" w:cs="Arial"/>
        </w:rPr>
        <w:t>Reports maintained by any approved agency must meet the following standards:</w:t>
      </w:r>
    </w:p>
    <w:p w14:paraId="583ADC10" w14:textId="77777777" w:rsidR="00612E97" w:rsidRPr="008F69BA" w:rsidRDefault="00612E97" w:rsidP="00C96EF3">
      <w:pPr>
        <w:pStyle w:val="ListParagraph"/>
        <w:numPr>
          <w:ilvl w:val="0"/>
          <w:numId w:val="60"/>
        </w:numPr>
        <w:jc w:val="both"/>
        <w:rPr>
          <w:rFonts w:ascii="Arial" w:hAnsi="Arial" w:cs="Arial"/>
        </w:rPr>
      </w:pPr>
      <w:r w:rsidRPr="00B179B9">
        <w:rPr>
          <w:rFonts w:ascii="Arial" w:hAnsi="Arial" w:cs="Arial"/>
        </w:rPr>
        <w:t>The reports must reflect an after-the-fact determination of the actual activity of each employee.</w:t>
      </w:r>
    </w:p>
    <w:p w14:paraId="65193DB5" w14:textId="77777777" w:rsidR="00612E97" w:rsidRPr="008F69BA" w:rsidRDefault="00612E97" w:rsidP="00C96EF3">
      <w:pPr>
        <w:pStyle w:val="ListParagraph"/>
        <w:numPr>
          <w:ilvl w:val="0"/>
          <w:numId w:val="60"/>
        </w:numPr>
        <w:jc w:val="both"/>
        <w:rPr>
          <w:rFonts w:ascii="Arial" w:hAnsi="Arial" w:cs="Arial"/>
        </w:rPr>
      </w:pPr>
      <w:r w:rsidRPr="00B179B9">
        <w:rPr>
          <w:rFonts w:ascii="Arial" w:hAnsi="Arial" w:cs="Arial"/>
        </w:rPr>
        <w:t>Each report must account for the total activity for which employees are compensated and which is required in fulfillment of their obligations to the organization.</w:t>
      </w:r>
    </w:p>
    <w:p w14:paraId="1461382D" w14:textId="77777777" w:rsidR="00612E97" w:rsidRPr="008F69BA" w:rsidRDefault="00612E97" w:rsidP="00C96EF3">
      <w:pPr>
        <w:pStyle w:val="ListParagraph"/>
        <w:numPr>
          <w:ilvl w:val="0"/>
          <w:numId w:val="60"/>
        </w:numPr>
        <w:jc w:val="both"/>
        <w:rPr>
          <w:rFonts w:ascii="Arial" w:hAnsi="Arial" w:cs="Arial"/>
        </w:rPr>
      </w:pPr>
      <w:r w:rsidRPr="00B179B9">
        <w:rPr>
          <w:rFonts w:ascii="Arial" w:hAnsi="Arial" w:cs="Arial"/>
        </w:rPr>
        <w:t>The reports must be signed by the individual employee, or by a responsible supervisory official having first-hand knowledge of the activities performed by the employee, to verify that the distribution of activity noted on the report represents a reasonable estimate of the actual work performed by the employee during the periods covered by the reports.</w:t>
      </w:r>
    </w:p>
    <w:p w14:paraId="70B4CDA4" w14:textId="77777777" w:rsidR="00612E97" w:rsidRPr="00B179B9" w:rsidRDefault="00612E97" w:rsidP="00C96EF3">
      <w:pPr>
        <w:pStyle w:val="ListParagraph"/>
        <w:numPr>
          <w:ilvl w:val="0"/>
          <w:numId w:val="60"/>
        </w:numPr>
        <w:spacing w:after="240"/>
        <w:jc w:val="both"/>
        <w:rPr>
          <w:rFonts w:ascii="Arial" w:hAnsi="Arial" w:cs="Arial"/>
        </w:rPr>
      </w:pPr>
      <w:r w:rsidRPr="00B179B9">
        <w:rPr>
          <w:rFonts w:ascii="Arial" w:hAnsi="Arial" w:cs="Arial"/>
        </w:rPr>
        <w:t>The reports must be prepared at least monthly and must coincide with one or more pay periods.</w:t>
      </w:r>
    </w:p>
    <w:p w14:paraId="63420EBA" w14:textId="77777777" w:rsidR="00612E97" w:rsidRPr="00B179B9" w:rsidRDefault="00612E97" w:rsidP="00612E97">
      <w:pPr>
        <w:autoSpaceDE w:val="0"/>
        <w:autoSpaceDN w:val="0"/>
        <w:adjustRightInd w:val="0"/>
        <w:spacing w:after="240"/>
        <w:jc w:val="both"/>
        <w:rPr>
          <w:rFonts w:ascii="Arial" w:hAnsi="Arial" w:cs="Arial"/>
          <w:b/>
          <w:bCs/>
        </w:rPr>
      </w:pPr>
      <w:r w:rsidRPr="00B179B9">
        <w:rPr>
          <w:rFonts w:ascii="Arial" w:hAnsi="Arial" w:cs="Arial"/>
          <w:b/>
          <w:bCs/>
        </w:rPr>
        <w:t>B2.11 - Indirect Costs</w:t>
      </w:r>
    </w:p>
    <w:p w14:paraId="783BE30A"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Indirect costs apply to costs originating in the subrecipient agency for providing goods, equipment, and services necessary to support the project. </w:t>
      </w:r>
    </w:p>
    <w:p w14:paraId="2C81DEEF" w14:textId="77777777" w:rsidR="00612E97" w:rsidRPr="008F69BA" w:rsidRDefault="00612E97" w:rsidP="00C96EF3">
      <w:pPr>
        <w:pStyle w:val="ListParagraph"/>
        <w:numPr>
          <w:ilvl w:val="0"/>
          <w:numId w:val="61"/>
        </w:numPr>
        <w:jc w:val="both"/>
        <w:rPr>
          <w:rFonts w:ascii="Arial" w:hAnsi="Arial" w:cs="Arial"/>
        </w:rPr>
      </w:pPr>
      <w:r w:rsidRPr="00B179B9">
        <w:rPr>
          <w:rFonts w:ascii="Arial" w:hAnsi="Arial" w:cs="Arial"/>
        </w:rPr>
        <w:t>Subrecipients’ indirect costs proposal must comply with the Federal Funder’s terms as delineated in the Funding Announcement. A Federal grantor may limit, allow or disallow indirect costs. The ODH subrecipient’s budget must reflect the limitations defined in the Funding Announcement.</w:t>
      </w:r>
    </w:p>
    <w:p w14:paraId="0D524AAC" w14:textId="77777777" w:rsidR="00612E97" w:rsidRPr="008F69BA" w:rsidRDefault="00612E97" w:rsidP="00C96EF3">
      <w:pPr>
        <w:pStyle w:val="ListParagraph"/>
        <w:numPr>
          <w:ilvl w:val="0"/>
          <w:numId w:val="61"/>
        </w:numPr>
        <w:jc w:val="both"/>
        <w:rPr>
          <w:rFonts w:ascii="Arial" w:hAnsi="Arial" w:cs="Arial"/>
        </w:rPr>
      </w:pPr>
      <w:r w:rsidRPr="00B179B9">
        <w:rPr>
          <w:rFonts w:ascii="Arial" w:hAnsi="Arial" w:cs="Arial"/>
        </w:rPr>
        <w:t>Uniform Grants Guidance (Title 2 Code of Federal Regulation) allows subrecipients to include indirect costs in subgrant applications. Subrecipients may choose one of the following options with regard to indirect costs:</w:t>
      </w:r>
    </w:p>
    <w:p w14:paraId="290765C7" w14:textId="77777777" w:rsidR="00612E97" w:rsidRPr="00B179B9" w:rsidRDefault="00612E97" w:rsidP="00C96EF3">
      <w:pPr>
        <w:pStyle w:val="ListParagraph"/>
        <w:numPr>
          <w:ilvl w:val="1"/>
          <w:numId w:val="61"/>
        </w:numPr>
        <w:jc w:val="both"/>
        <w:rPr>
          <w:rFonts w:ascii="Arial" w:hAnsi="Arial" w:cs="Arial"/>
          <w:i/>
          <w:iCs/>
        </w:rPr>
      </w:pPr>
      <w:r w:rsidRPr="00B179B9">
        <w:rPr>
          <w:rFonts w:ascii="Arial" w:hAnsi="Arial" w:cs="Arial"/>
        </w:rPr>
        <w:t>Negotiate and execute an Indirect Cost Rate Agreement with the Federal Funder and base the subrecipient application budget on said agreement. In this instance the agreement must be submitted in GMIS as an attachment to the application;</w:t>
      </w:r>
    </w:p>
    <w:p w14:paraId="1BD84D1A" w14:textId="77777777" w:rsidR="00612E97" w:rsidRPr="00B179B9" w:rsidRDefault="00612E97" w:rsidP="00C96EF3">
      <w:pPr>
        <w:pStyle w:val="ListParagraph"/>
        <w:numPr>
          <w:ilvl w:val="1"/>
          <w:numId w:val="61"/>
        </w:numPr>
        <w:jc w:val="both"/>
        <w:rPr>
          <w:rFonts w:ascii="Arial" w:hAnsi="Arial" w:cs="Arial"/>
          <w:i/>
          <w:iCs/>
        </w:rPr>
      </w:pPr>
      <w:r w:rsidRPr="00B179B9">
        <w:rPr>
          <w:rFonts w:ascii="Arial" w:hAnsi="Arial" w:cs="Arial"/>
        </w:rPr>
        <w:t xml:space="preserve">If the subrecipient has not executed a federally approved Indirect Cost Rate Agreement, the subrecipient may elect to charge a de minimis rate of 10% </w:t>
      </w:r>
      <w:r>
        <w:rPr>
          <w:rFonts w:ascii="Arial" w:hAnsi="Arial" w:cs="Arial"/>
        </w:rPr>
        <w:t xml:space="preserve">or 15% </w:t>
      </w:r>
      <w:r w:rsidRPr="00B179B9">
        <w:rPr>
          <w:rFonts w:ascii="Arial" w:hAnsi="Arial" w:cs="Arial"/>
        </w:rPr>
        <w:t xml:space="preserve">of modified total direct costs (MTDC) which may be used indefinitely. </w:t>
      </w:r>
    </w:p>
    <w:p w14:paraId="54128EB3" w14:textId="77777777" w:rsidR="00612E97" w:rsidRPr="00B179B9" w:rsidRDefault="00612E97" w:rsidP="00C96EF3">
      <w:pPr>
        <w:pStyle w:val="ListParagraph"/>
        <w:numPr>
          <w:ilvl w:val="2"/>
          <w:numId w:val="61"/>
        </w:numPr>
        <w:jc w:val="both"/>
        <w:rPr>
          <w:rFonts w:ascii="Arial" w:hAnsi="Arial" w:cs="Arial"/>
          <w:i/>
          <w:iCs/>
        </w:rPr>
      </w:pPr>
      <w:r w:rsidRPr="00B179B9">
        <w:rPr>
          <w:rFonts w:ascii="Arial" w:hAnsi="Arial" w:cs="Arial"/>
        </w:rPr>
        <w:t>Sub-part A § 200.68 of the Federal Uniform Administrative Requirements defines Modified Total Direct Cost as “….all direct salaries and wages, applicable fringe benefits, materials and supplies, services, travel, and sub-awards and subcontracts up to the first $25,000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$25,000. Other items may only be excluded when necessary to avoid a serious inequity in the distribution of indirect costs, and with the approval of the cognizant agency for indirect costs.,” or</w:t>
      </w:r>
      <w:r w:rsidRPr="00B179B9">
        <w:rPr>
          <w:rFonts w:ascii="Arial" w:hAnsi="Arial" w:cs="Arial"/>
          <w:i/>
          <w:iCs/>
        </w:rPr>
        <w:t>,</w:t>
      </w:r>
    </w:p>
    <w:p w14:paraId="66F941F7" w14:textId="77777777" w:rsidR="00612E97" w:rsidRPr="00B179B9" w:rsidRDefault="00612E97" w:rsidP="00C96EF3">
      <w:pPr>
        <w:pStyle w:val="ListParagraph"/>
        <w:numPr>
          <w:ilvl w:val="2"/>
          <w:numId w:val="61"/>
        </w:numPr>
        <w:jc w:val="both"/>
        <w:rPr>
          <w:rFonts w:ascii="Arial" w:hAnsi="Arial" w:cs="Arial"/>
          <w:i/>
          <w:iCs/>
        </w:rPr>
      </w:pPr>
      <w:r w:rsidRPr="00B179B9">
        <w:rPr>
          <w:rFonts w:ascii="Arial" w:hAnsi="Arial" w:cs="Arial"/>
        </w:rPr>
        <w:t>Base the budget solely upon direct costs.</w:t>
      </w:r>
    </w:p>
    <w:p w14:paraId="036491E0" w14:textId="77777777" w:rsidR="00612E97" w:rsidRPr="008F69BA" w:rsidRDefault="00612E97" w:rsidP="00C96EF3">
      <w:pPr>
        <w:pStyle w:val="ListParagraph"/>
        <w:numPr>
          <w:ilvl w:val="0"/>
          <w:numId w:val="61"/>
        </w:numPr>
        <w:jc w:val="both"/>
        <w:rPr>
          <w:rFonts w:ascii="Arial" w:hAnsi="Arial" w:cs="Arial"/>
        </w:rPr>
      </w:pPr>
      <w:r w:rsidRPr="00B179B9">
        <w:rPr>
          <w:rFonts w:ascii="Arial" w:hAnsi="Arial" w:cs="Arial"/>
        </w:rPr>
        <w:t>If a subrecipient gains a federally approved indirect cost agreement during a subgrant budget period it may submit a budget revision during the first two quarters of the budget period.</w:t>
      </w:r>
    </w:p>
    <w:p w14:paraId="443CFC7E" w14:textId="77777777" w:rsidR="00612E97" w:rsidRPr="008F69BA" w:rsidRDefault="00612E97" w:rsidP="00C96EF3">
      <w:pPr>
        <w:pStyle w:val="ListParagraph"/>
        <w:numPr>
          <w:ilvl w:val="0"/>
          <w:numId w:val="61"/>
        </w:numPr>
        <w:jc w:val="both"/>
        <w:rPr>
          <w:rFonts w:ascii="Arial" w:hAnsi="Arial" w:cs="Arial"/>
        </w:rPr>
      </w:pPr>
      <w:r w:rsidRPr="00B179B9">
        <w:rPr>
          <w:rFonts w:ascii="Arial" w:hAnsi="Arial" w:cs="Arial"/>
          <w:b/>
          <w:bCs/>
        </w:rPr>
        <w:lastRenderedPageBreak/>
        <w:t>The NOA amount includes any indirect costs budgeted. Including indirect costs in your subgrant application budget does not result in an increase in the Notice of Award amount.</w:t>
      </w:r>
    </w:p>
    <w:p w14:paraId="72AF3780" w14:textId="77777777" w:rsidR="00612E97" w:rsidRPr="008F69BA" w:rsidRDefault="00612E97" w:rsidP="00C96EF3">
      <w:pPr>
        <w:pStyle w:val="ListParagraph"/>
        <w:numPr>
          <w:ilvl w:val="0"/>
          <w:numId w:val="61"/>
        </w:numPr>
        <w:jc w:val="both"/>
        <w:rPr>
          <w:rFonts w:ascii="Arial" w:hAnsi="Arial" w:cs="Arial"/>
        </w:rPr>
      </w:pPr>
      <w:r w:rsidRPr="00B179B9">
        <w:rPr>
          <w:rFonts w:ascii="Arial" w:hAnsi="Arial" w:cs="Arial"/>
        </w:rPr>
        <w:t xml:space="preserve">Modified Total Direct Costs (MTDC – 10% </w:t>
      </w:r>
      <w:r>
        <w:rPr>
          <w:rFonts w:ascii="Arial" w:hAnsi="Arial" w:cs="Arial"/>
        </w:rPr>
        <w:t xml:space="preserve">or 15% </w:t>
      </w:r>
      <w:r w:rsidRPr="00B179B9">
        <w:rPr>
          <w:rFonts w:ascii="Arial" w:hAnsi="Arial" w:cs="Arial"/>
        </w:rPr>
        <w:t>rate) Personnel Allowance:</w:t>
      </w:r>
    </w:p>
    <w:p w14:paraId="46F11F83" w14:textId="77777777" w:rsidR="00612E97" w:rsidRPr="00B179B9" w:rsidRDefault="00612E97" w:rsidP="00612E97">
      <w:pPr>
        <w:autoSpaceDE w:val="0"/>
        <w:autoSpaceDN w:val="0"/>
        <w:adjustRightInd w:val="0"/>
        <w:ind w:left="720"/>
        <w:jc w:val="both"/>
        <w:rPr>
          <w:rFonts w:ascii="Arial" w:hAnsi="Arial" w:cs="Arial"/>
        </w:rPr>
      </w:pPr>
      <w:r w:rsidRPr="00B179B9">
        <w:rPr>
          <w:rFonts w:ascii="Arial" w:hAnsi="Arial" w:cs="Arial"/>
        </w:rPr>
        <w:t>Administrative staff are not permitted to be direct billed to an ODH grant when using the MTDC indirect rate. Administrative staff are staff who benefit the entire agency. Administrative staff includes but is not limited to:</w:t>
      </w:r>
    </w:p>
    <w:p w14:paraId="2B52C1BA" w14:textId="77777777" w:rsidR="00612E97" w:rsidRPr="00B179B9" w:rsidRDefault="00612E97" w:rsidP="00C96EF3">
      <w:pPr>
        <w:pStyle w:val="ListParagraph"/>
        <w:numPr>
          <w:ilvl w:val="1"/>
          <w:numId w:val="61"/>
        </w:numPr>
        <w:jc w:val="both"/>
        <w:rPr>
          <w:rFonts w:ascii="Arial" w:hAnsi="Arial" w:cs="Arial"/>
        </w:rPr>
      </w:pPr>
      <w:r w:rsidRPr="00B179B9">
        <w:rPr>
          <w:rFonts w:ascii="Arial" w:hAnsi="Arial" w:cs="Arial"/>
        </w:rPr>
        <w:t>Health Commissioner</w:t>
      </w:r>
    </w:p>
    <w:p w14:paraId="20DECDF2" w14:textId="77777777" w:rsidR="00612E97" w:rsidRPr="00B179B9" w:rsidRDefault="00612E97" w:rsidP="00C96EF3">
      <w:pPr>
        <w:pStyle w:val="ListParagraph"/>
        <w:numPr>
          <w:ilvl w:val="1"/>
          <w:numId w:val="61"/>
        </w:numPr>
        <w:jc w:val="both"/>
        <w:rPr>
          <w:rFonts w:ascii="Arial" w:hAnsi="Arial" w:cs="Arial"/>
        </w:rPr>
      </w:pPr>
      <w:r w:rsidRPr="00B179B9">
        <w:rPr>
          <w:rFonts w:ascii="Arial" w:hAnsi="Arial" w:cs="Arial"/>
        </w:rPr>
        <w:t xml:space="preserve">Director </w:t>
      </w:r>
    </w:p>
    <w:p w14:paraId="1E8F7A6F" w14:textId="77777777" w:rsidR="00612E97" w:rsidRPr="00B179B9" w:rsidRDefault="00612E97" w:rsidP="00C96EF3">
      <w:pPr>
        <w:pStyle w:val="ListParagraph"/>
        <w:numPr>
          <w:ilvl w:val="1"/>
          <w:numId w:val="61"/>
        </w:numPr>
        <w:jc w:val="both"/>
        <w:rPr>
          <w:rFonts w:ascii="Arial" w:hAnsi="Arial" w:cs="Arial"/>
        </w:rPr>
      </w:pPr>
      <w:r w:rsidRPr="00B179B9">
        <w:rPr>
          <w:rFonts w:ascii="Arial" w:hAnsi="Arial" w:cs="Arial"/>
        </w:rPr>
        <w:t>Assistant Director/Assistant Health Commissioner</w:t>
      </w:r>
    </w:p>
    <w:p w14:paraId="0158ACAD" w14:textId="77777777" w:rsidR="00612E97" w:rsidRPr="00B179B9" w:rsidRDefault="00612E97" w:rsidP="00C96EF3">
      <w:pPr>
        <w:pStyle w:val="ListParagraph"/>
        <w:numPr>
          <w:ilvl w:val="1"/>
          <w:numId w:val="61"/>
        </w:numPr>
        <w:jc w:val="both"/>
        <w:rPr>
          <w:rFonts w:ascii="Arial" w:hAnsi="Arial" w:cs="Arial"/>
        </w:rPr>
      </w:pPr>
      <w:r w:rsidRPr="00B179B9">
        <w:rPr>
          <w:rFonts w:ascii="Arial" w:hAnsi="Arial" w:cs="Arial"/>
        </w:rPr>
        <w:t>Finance Staff (unless charged 100% to a subgrant program)</w:t>
      </w:r>
    </w:p>
    <w:p w14:paraId="41E50CBD" w14:textId="77777777" w:rsidR="00612E97" w:rsidRPr="00B179B9" w:rsidRDefault="00612E97" w:rsidP="00C96EF3">
      <w:pPr>
        <w:pStyle w:val="ListParagraph"/>
        <w:numPr>
          <w:ilvl w:val="1"/>
          <w:numId w:val="61"/>
        </w:numPr>
        <w:jc w:val="both"/>
        <w:rPr>
          <w:rFonts w:ascii="Arial" w:hAnsi="Arial" w:cs="Arial"/>
        </w:rPr>
      </w:pPr>
      <w:r w:rsidRPr="00B179B9">
        <w:rPr>
          <w:rFonts w:ascii="Arial" w:hAnsi="Arial" w:cs="Arial"/>
        </w:rPr>
        <w:t>Legal Staff</w:t>
      </w:r>
      <w:r>
        <w:rPr>
          <w:rFonts w:ascii="Arial" w:hAnsi="Arial" w:cs="Arial"/>
        </w:rPr>
        <w:t xml:space="preserve"> </w:t>
      </w:r>
      <w:r w:rsidRPr="00B179B9">
        <w:rPr>
          <w:rFonts w:ascii="Arial" w:hAnsi="Arial" w:cs="Arial"/>
        </w:rPr>
        <w:t>(unless charged 100% to a subgrant program)</w:t>
      </w:r>
    </w:p>
    <w:p w14:paraId="0B2688BB" w14:textId="77777777" w:rsidR="00612E97" w:rsidRPr="008F69BA" w:rsidRDefault="00612E97" w:rsidP="00C96EF3">
      <w:pPr>
        <w:pStyle w:val="ListParagraph"/>
        <w:numPr>
          <w:ilvl w:val="1"/>
          <w:numId w:val="61"/>
        </w:numPr>
        <w:spacing w:after="240"/>
        <w:jc w:val="both"/>
        <w:rPr>
          <w:rFonts w:ascii="Arial" w:hAnsi="Arial" w:cs="Arial"/>
          <w:color w:val="000000"/>
        </w:rPr>
      </w:pPr>
      <w:r w:rsidRPr="00B179B9">
        <w:rPr>
          <w:rFonts w:ascii="Arial" w:hAnsi="Arial" w:cs="Arial"/>
        </w:rPr>
        <w:t>Clerical Staff (unless charged 100% to a subgrant program)</w:t>
      </w:r>
    </w:p>
    <w:p w14:paraId="6058133F" w14:textId="08F39A89" w:rsidR="00612E97" w:rsidRPr="00B04A0A" w:rsidRDefault="00612E97" w:rsidP="00612E97">
      <w:pPr>
        <w:autoSpaceDE w:val="0"/>
        <w:autoSpaceDN w:val="0"/>
        <w:adjustRightInd w:val="0"/>
        <w:spacing w:after="240"/>
        <w:ind w:left="720"/>
        <w:jc w:val="both"/>
        <w:rPr>
          <w:rFonts w:ascii="Arial" w:hAnsi="Arial" w:cs="Arial"/>
          <w:b/>
          <w:bCs/>
          <w:color w:val="000000"/>
        </w:rPr>
      </w:pPr>
      <w:r w:rsidRPr="00B179B9">
        <w:rPr>
          <w:rFonts w:ascii="Arial" w:hAnsi="Arial" w:cs="Arial"/>
          <w:color w:val="000000"/>
        </w:rPr>
        <w:t>Direct/program staff are permitted to be direct billed to an ODH grant. The 10%</w:t>
      </w:r>
      <w:r>
        <w:rPr>
          <w:rFonts w:ascii="Arial" w:hAnsi="Arial" w:cs="Arial"/>
          <w:color w:val="000000"/>
        </w:rPr>
        <w:t xml:space="preserve"> (or 15%)</w:t>
      </w:r>
      <w:r w:rsidRPr="00B179B9">
        <w:rPr>
          <w:rFonts w:ascii="Arial" w:hAnsi="Arial" w:cs="Arial"/>
          <w:color w:val="000000"/>
        </w:rPr>
        <w:t xml:space="preserve"> indirect rate can be applied to these staff’s salaries/wages and applicable fringe benefit. Agencies must include the following certification language on the budget justification</w:t>
      </w:r>
      <w:r w:rsidRPr="00612E97">
        <w:rPr>
          <w:rFonts w:ascii="Arial" w:hAnsi="Arial" w:cs="Arial"/>
          <w:color w:val="000000"/>
        </w:rPr>
        <w:t>:</w:t>
      </w:r>
      <w:r w:rsidRPr="00B04A0A">
        <w:rPr>
          <w:rFonts w:ascii="Arial" w:hAnsi="Arial" w:cs="Arial"/>
          <w:b/>
          <w:bCs/>
          <w:color w:val="000000"/>
        </w:rPr>
        <w:t xml:space="preserve"> </w:t>
      </w:r>
      <w:r w:rsidRPr="00B04A0A">
        <w:rPr>
          <w:rFonts w:ascii="Arial" w:hAnsi="Arial" w:cs="Arial"/>
          <w:b/>
          <w:bCs/>
          <w:color w:val="FF0000"/>
        </w:rPr>
        <w:t>(Name of Agency) certifies that this</w:t>
      </w:r>
      <w:r w:rsidRPr="00B04A0A">
        <w:rPr>
          <w:rFonts w:ascii="Arial" w:hAnsi="Arial" w:cs="Arial"/>
          <w:b/>
          <w:bCs/>
          <w:color w:val="000000"/>
        </w:rPr>
        <w:t xml:space="preserve"> </w:t>
      </w:r>
      <w:r w:rsidRPr="00B04A0A">
        <w:rPr>
          <w:rFonts w:ascii="Arial" w:hAnsi="Arial" w:cs="Arial"/>
          <w:b/>
          <w:bCs/>
          <w:color w:val="FF0000"/>
        </w:rPr>
        <w:t>position can be directly attributed to this grant and therefore charging indirect against this position is allowable.</w:t>
      </w:r>
    </w:p>
    <w:p w14:paraId="2DE74343" w14:textId="77777777" w:rsidR="00612E97" w:rsidRPr="00B179B9" w:rsidRDefault="00612E97" w:rsidP="00612E97">
      <w:pPr>
        <w:autoSpaceDE w:val="0"/>
        <w:autoSpaceDN w:val="0"/>
        <w:adjustRightInd w:val="0"/>
        <w:spacing w:after="240"/>
        <w:ind w:left="720"/>
        <w:jc w:val="both"/>
        <w:rPr>
          <w:rFonts w:ascii="Arial" w:hAnsi="Arial" w:cs="Arial"/>
          <w:color w:val="000000"/>
        </w:rPr>
      </w:pPr>
      <w:r w:rsidRPr="00B179B9">
        <w:rPr>
          <w:rFonts w:ascii="Arial" w:hAnsi="Arial" w:cs="Arial"/>
          <w:color w:val="000000"/>
        </w:rPr>
        <w:t>If direct/program staff cannot be directly attributed to an ODH grant then they should not be direct billed to the grant</w:t>
      </w:r>
      <w:r>
        <w:rPr>
          <w:rFonts w:ascii="Arial" w:hAnsi="Arial" w:cs="Arial"/>
          <w:color w:val="000000"/>
        </w:rPr>
        <w:t xml:space="preserve">. </w:t>
      </w:r>
    </w:p>
    <w:p w14:paraId="1C0C1FFB" w14:textId="4981EDC9" w:rsidR="00612E97" w:rsidRPr="00B179B9" w:rsidRDefault="00612E97" w:rsidP="00612E97">
      <w:pPr>
        <w:autoSpaceDE w:val="0"/>
        <w:autoSpaceDN w:val="0"/>
        <w:adjustRightInd w:val="0"/>
        <w:ind w:left="720"/>
        <w:jc w:val="both"/>
        <w:rPr>
          <w:rFonts w:ascii="Arial" w:hAnsi="Arial" w:cs="Arial"/>
          <w:color w:val="000000"/>
        </w:rPr>
      </w:pPr>
      <w:r w:rsidRPr="00B179B9">
        <w:rPr>
          <w:rFonts w:ascii="Arial" w:hAnsi="Arial" w:cs="Arial"/>
          <w:color w:val="000000"/>
        </w:rPr>
        <w:t xml:space="preserve">ODH Subrecipients’ that have not negotiated indirect cost rates with the Federal government and receive less than $35 million in direct Federal funding per year may use the 10% </w:t>
      </w:r>
      <w:r>
        <w:rPr>
          <w:rFonts w:ascii="Arial" w:hAnsi="Arial" w:cs="Arial"/>
          <w:color w:val="000000"/>
        </w:rPr>
        <w:t>(</w:t>
      </w:r>
      <w:r w:rsidR="00225C8C">
        <w:rPr>
          <w:rFonts w:ascii="Arial" w:hAnsi="Arial" w:cs="Arial"/>
          <w:color w:val="000000"/>
        </w:rPr>
        <w:t xml:space="preserve">or </w:t>
      </w:r>
      <w:r>
        <w:rPr>
          <w:rFonts w:ascii="Arial" w:hAnsi="Arial" w:cs="Arial"/>
          <w:color w:val="000000"/>
        </w:rPr>
        <w:t xml:space="preserve">15%) </w:t>
      </w:r>
      <w:r w:rsidRPr="00B179B9">
        <w:rPr>
          <w:rFonts w:ascii="Arial" w:hAnsi="Arial" w:cs="Arial"/>
          <w:color w:val="000000"/>
        </w:rPr>
        <w:t xml:space="preserve">de minimis indirect cost rate, and must keep the documentation of this decision on file. Thus, a governmental unit below the $35 million threshold that has truly never had a federally-negotiated rate, whether actual or </w:t>
      </w:r>
      <w:r w:rsidRPr="00B179B9">
        <w:rPr>
          <w:rFonts w:ascii="Arial" w:hAnsi="Arial" w:cs="Arial"/>
          <w:i/>
          <w:iCs/>
          <w:color w:val="000000"/>
        </w:rPr>
        <w:t>de facto</w:t>
      </w:r>
      <w:r w:rsidRPr="00B179B9">
        <w:rPr>
          <w:rFonts w:ascii="Arial" w:hAnsi="Arial" w:cs="Arial"/>
          <w:color w:val="000000"/>
        </w:rPr>
        <w:t xml:space="preserve">, may opt to use the </w:t>
      </w:r>
      <w:r w:rsidRPr="00B179B9">
        <w:rPr>
          <w:rFonts w:ascii="Arial" w:hAnsi="Arial" w:cs="Arial"/>
          <w:i/>
          <w:iCs/>
          <w:color w:val="000000"/>
        </w:rPr>
        <w:t xml:space="preserve">de minimis </w:t>
      </w:r>
      <w:r w:rsidRPr="00B179B9">
        <w:rPr>
          <w:rFonts w:ascii="Arial" w:hAnsi="Arial" w:cs="Arial"/>
          <w:color w:val="000000"/>
        </w:rPr>
        <w:t>methodology.</w:t>
      </w:r>
    </w:p>
    <w:p w14:paraId="1833B455" w14:textId="77777777" w:rsidR="00612E97" w:rsidRPr="00B179B9" w:rsidRDefault="00612E97" w:rsidP="00C96EF3">
      <w:pPr>
        <w:pStyle w:val="ListParagraph"/>
        <w:numPr>
          <w:ilvl w:val="0"/>
          <w:numId w:val="61"/>
        </w:numPr>
        <w:spacing w:after="240"/>
        <w:jc w:val="both"/>
        <w:rPr>
          <w:rFonts w:ascii="Arial" w:hAnsi="Arial" w:cs="Arial"/>
          <w:b/>
        </w:rPr>
      </w:pPr>
      <w:r w:rsidRPr="00B179B9">
        <w:rPr>
          <w:rFonts w:ascii="Arial" w:hAnsi="Arial" w:cs="Arial"/>
        </w:rPr>
        <w:t>Indirect costs cannot be charged against a deliverable line item.</w:t>
      </w:r>
    </w:p>
    <w:p w14:paraId="1299D3AF" w14:textId="77777777" w:rsidR="00612E97" w:rsidRPr="00B179B9" w:rsidRDefault="00612E97" w:rsidP="00612E97">
      <w:pPr>
        <w:spacing w:after="240"/>
        <w:jc w:val="both"/>
        <w:rPr>
          <w:rFonts w:ascii="Arial" w:hAnsi="Arial" w:cs="Arial"/>
        </w:rPr>
      </w:pPr>
      <w:r w:rsidRPr="00B179B9">
        <w:rPr>
          <w:rFonts w:ascii="Arial" w:hAnsi="Arial" w:cs="Arial"/>
          <w:b/>
          <w:bCs/>
        </w:rPr>
        <w:t>C2.4 Cost Allocation Plan</w:t>
      </w:r>
    </w:p>
    <w:p w14:paraId="325A99E5"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A cost is allocable to a subgrant project based on the benefits received by the project. Some costs may be shared by a subgrant project and non-project activities of the agency. When an allocation of joint costs will ultimately result in charges to grant supported projects, an allocation plan is required. This section provides policies for the allocation of joint costs to grant supported projects.</w:t>
      </w:r>
    </w:p>
    <w:p w14:paraId="58CEBE4E"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Joint costs charged to any grant projects must be in accordance with an approved cost allocation plan. The cost allocation plan must interface with the agency’s accounting system and be supported by the agency’s formal accounting records in order to substantiate the propriety of the charges. The agency cost allocation plan must meet the following requirements:</w:t>
      </w:r>
    </w:p>
    <w:p w14:paraId="0E67A78E" w14:textId="77777777" w:rsidR="00612E97" w:rsidRPr="008F69BA" w:rsidRDefault="00612E97" w:rsidP="00C96EF3">
      <w:pPr>
        <w:pStyle w:val="ListParagraph"/>
        <w:numPr>
          <w:ilvl w:val="0"/>
          <w:numId w:val="62"/>
        </w:numPr>
        <w:spacing w:after="240"/>
        <w:jc w:val="both"/>
        <w:rPr>
          <w:rFonts w:ascii="Arial" w:hAnsi="Arial" w:cs="Arial"/>
        </w:rPr>
      </w:pPr>
      <w:r w:rsidRPr="00B179B9">
        <w:rPr>
          <w:rFonts w:ascii="Arial" w:hAnsi="Arial" w:cs="Arial"/>
        </w:rPr>
        <w:t>The plan should cover all joint costs of the subrecipient agency that are included in the grant-supported project. At a minimum, the plan should contain the nature and extent of services provided and their relevance to the grant supported project; the item of expense included; and the methods to be used in distributing costs.</w:t>
      </w:r>
    </w:p>
    <w:p w14:paraId="3993B7AC" w14:textId="77777777" w:rsidR="00612E97" w:rsidRPr="008F69BA" w:rsidRDefault="00612E97" w:rsidP="00C96EF3">
      <w:pPr>
        <w:pStyle w:val="ListParagraph"/>
        <w:numPr>
          <w:ilvl w:val="0"/>
          <w:numId w:val="62"/>
        </w:numPr>
        <w:spacing w:after="240"/>
        <w:jc w:val="both"/>
        <w:rPr>
          <w:rFonts w:ascii="Arial" w:hAnsi="Arial" w:cs="Arial"/>
        </w:rPr>
      </w:pPr>
      <w:r w:rsidRPr="00B179B9">
        <w:rPr>
          <w:rFonts w:ascii="Arial" w:hAnsi="Arial" w:cs="Arial"/>
        </w:rPr>
        <w:t>The allocation plan should base the cost distribution on the type of goods or services provided in order to assure that the grant is not charged more than its fair share of the joint costs. Any method can be used that will produce an equitable distribution of cost. In selecting one method over another, consideration should be given to the additional effort required to achieve a greater degree of accuracy.</w:t>
      </w:r>
    </w:p>
    <w:p w14:paraId="72FA0717" w14:textId="77777777" w:rsidR="00612E97" w:rsidRPr="00B179B9" w:rsidRDefault="00612E97" w:rsidP="00C96EF3">
      <w:pPr>
        <w:pStyle w:val="ListParagraph"/>
        <w:numPr>
          <w:ilvl w:val="0"/>
          <w:numId w:val="62"/>
        </w:numPr>
        <w:jc w:val="both"/>
        <w:rPr>
          <w:rFonts w:ascii="Arial" w:hAnsi="Arial" w:cs="Arial"/>
        </w:rPr>
      </w:pPr>
      <w:r w:rsidRPr="00B179B9">
        <w:rPr>
          <w:rFonts w:ascii="Arial" w:hAnsi="Arial" w:cs="Arial"/>
        </w:rPr>
        <w:t>The following are methods for distributing frequently used for joint costs:</w:t>
      </w:r>
    </w:p>
    <w:p w14:paraId="7CEEF3BD"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Accounting services: Total dollar volume or number of transactions processed</w:t>
      </w:r>
    </w:p>
    <w:p w14:paraId="7609998F"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Auditing: Direct audit hours</w:t>
      </w:r>
    </w:p>
    <w:p w14:paraId="6955058C"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lastRenderedPageBreak/>
        <w:t>Data processing: Machine hours</w:t>
      </w:r>
    </w:p>
    <w:p w14:paraId="7DC2BCC6"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Disbursing service: Number of checks or warrants issued</w:t>
      </w:r>
    </w:p>
    <w:p w14:paraId="32D0EDDE"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Equipment purchase, leasing or depreciation: Percent of machine usage</w:t>
      </w:r>
    </w:p>
    <w:p w14:paraId="144233E5"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Legal services: Direct hours</w:t>
      </w:r>
    </w:p>
    <w:p w14:paraId="4ACD8E4A"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Mail or messenger service: Number of documents handled or employees served</w:t>
      </w:r>
    </w:p>
    <w:p w14:paraId="4AD88C44"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Motor pool costs: Percentage of vehicle mileage</w:t>
      </w:r>
    </w:p>
    <w:p w14:paraId="7089EF4E"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Office space rental and related costs (including utilities): Square feet of space occupied or number of grant-supported project employees</w:t>
      </w:r>
    </w:p>
    <w:p w14:paraId="76AE8509"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Organization and management services: Direct hours</w:t>
      </w:r>
    </w:p>
    <w:p w14:paraId="2032944C"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Payroll services: Number of grant-supported project employees</w:t>
      </w:r>
    </w:p>
    <w:p w14:paraId="4F6FDBFC"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Program personnel: Direct hours</w:t>
      </w:r>
    </w:p>
    <w:p w14:paraId="11572B1E"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Personnel administration: Number of employees</w:t>
      </w:r>
    </w:p>
    <w:p w14:paraId="581DC5D6" w14:textId="77777777" w:rsidR="00612E97" w:rsidRPr="00B179B9" w:rsidRDefault="00612E97" w:rsidP="00C96EF3">
      <w:pPr>
        <w:pStyle w:val="ListParagraph"/>
        <w:numPr>
          <w:ilvl w:val="1"/>
          <w:numId w:val="62"/>
        </w:numPr>
        <w:jc w:val="both"/>
        <w:rPr>
          <w:rFonts w:ascii="Arial" w:hAnsi="Arial" w:cs="Arial"/>
        </w:rPr>
      </w:pPr>
      <w:r w:rsidRPr="00B179B9">
        <w:rPr>
          <w:rFonts w:ascii="Arial" w:hAnsi="Arial" w:cs="Arial"/>
        </w:rPr>
        <w:t>Printing and reproduction: Direct hours, job basis, pages printed, etc.</w:t>
      </w:r>
    </w:p>
    <w:p w14:paraId="093B7577" w14:textId="77777777" w:rsidR="00612E97" w:rsidRPr="00B179B9" w:rsidRDefault="00612E97" w:rsidP="00C96EF3">
      <w:pPr>
        <w:pStyle w:val="ListParagraph"/>
        <w:numPr>
          <w:ilvl w:val="1"/>
          <w:numId w:val="62"/>
        </w:numPr>
        <w:spacing w:after="240"/>
        <w:jc w:val="both"/>
        <w:rPr>
          <w:rFonts w:ascii="Arial" w:hAnsi="Arial" w:cs="Arial"/>
        </w:rPr>
      </w:pPr>
      <w:r w:rsidRPr="00B179B9">
        <w:rPr>
          <w:rFonts w:ascii="Arial" w:hAnsi="Arial" w:cs="Arial"/>
        </w:rPr>
        <w:t>Local telephone: Direct billing or number of instruments</w:t>
      </w:r>
    </w:p>
    <w:p w14:paraId="49161E16" w14:textId="77777777" w:rsidR="00612E97" w:rsidRPr="00B179B9" w:rsidRDefault="00612E97" w:rsidP="00C96EF3">
      <w:pPr>
        <w:pStyle w:val="ListParagraph"/>
        <w:numPr>
          <w:ilvl w:val="0"/>
          <w:numId w:val="62"/>
        </w:numPr>
        <w:spacing w:after="240"/>
        <w:jc w:val="both"/>
        <w:rPr>
          <w:rFonts w:ascii="Arial" w:hAnsi="Arial" w:cs="Arial"/>
        </w:rPr>
      </w:pPr>
      <w:r w:rsidRPr="00B179B9">
        <w:rPr>
          <w:rFonts w:ascii="Arial" w:hAnsi="Arial" w:cs="Arial"/>
        </w:rPr>
        <w:t>Any cost allocable to one subgrant project under these guidelines may not be shifted to other federal or state subgrant projects to overcome fund deficiencies, avoid restrictions imposed by law or grant agreements, or for any other reason.</w:t>
      </w:r>
    </w:p>
    <w:p w14:paraId="708D133F" w14:textId="77777777" w:rsidR="00612E97" w:rsidRPr="00B179B9" w:rsidRDefault="00612E97" w:rsidP="00612E97">
      <w:pPr>
        <w:autoSpaceDE w:val="0"/>
        <w:autoSpaceDN w:val="0"/>
        <w:adjustRightInd w:val="0"/>
        <w:spacing w:after="240"/>
        <w:jc w:val="both"/>
        <w:rPr>
          <w:rFonts w:ascii="Arial" w:hAnsi="Arial" w:cs="Arial"/>
        </w:rPr>
      </w:pPr>
      <w:r w:rsidRPr="00B179B9">
        <w:rPr>
          <w:rFonts w:ascii="Arial" w:hAnsi="Arial" w:cs="Arial"/>
        </w:rPr>
        <w:t xml:space="preserve">ODH will not accept project costs that are determined using a base rate or </w:t>
      </w:r>
      <w:r>
        <w:rPr>
          <w:rFonts w:ascii="Arial" w:hAnsi="Arial" w:cs="Arial"/>
        </w:rPr>
        <w:t xml:space="preserve">flat </w:t>
      </w:r>
      <w:r w:rsidRPr="00B179B9">
        <w:rPr>
          <w:rFonts w:ascii="Arial" w:hAnsi="Arial" w:cs="Arial"/>
        </w:rPr>
        <w:t>percentage. Cost allocation plans demonstrating the equation used must be maintained for review during ODH on-site reviews. Furthermore, the cost allocation plan used to determine shared costs must be submitted with the application in the application budget.</w:t>
      </w:r>
    </w:p>
    <w:p w14:paraId="30411787" w14:textId="2A2C5412" w:rsidR="00612E97" w:rsidRPr="00612E97" w:rsidRDefault="00612E97" w:rsidP="003D439B">
      <w:pPr>
        <w:spacing w:after="240"/>
        <w:jc w:val="both"/>
        <w:rPr>
          <w:rFonts w:ascii="Arial" w:hAnsi="Arial" w:cs="Arial"/>
          <w:i/>
        </w:rPr>
      </w:pPr>
      <w:r w:rsidRPr="00B470E4">
        <w:rPr>
          <w:rFonts w:ascii="Arial" w:hAnsi="Arial" w:cs="Arial"/>
          <w:i/>
        </w:rPr>
        <w:t>(Source: OGA</w:t>
      </w:r>
      <w:r w:rsidR="002822F6">
        <w:rPr>
          <w:rFonts w:ascii="Arial" w:hAnsi="Arial" w:cs="Arial"/>
          <w:i/>
        </w:rPr>
        <w:t>P</w:t>
      </w:r>
      <w:r w:rsidRPr="00B470E4">
        <w:rPr>
          <w:rFonts w:ascii="Arial" w:hAnsi="Arial" w:cs="Arial"/>
          <w:i/>
        </w:rPr>
        <w:t xml:space="preserve">P Manual,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sidRPr="00B470E4">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5" w:name="_Toc18860606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5"/>
    </w:p>
    <w:p w14:paraId="2C5C23C1" w14:textId="77777777" w:rsidR="00B01E70" w:rsidRPr="00A0464C" w:rsidRDefault="00B01E70" w:rsidP="00B01E70">
      <w:pPr>
        <w:pStyle w:val="Heading3"/>
        <w:jc w:val="both"/>
        <w:rPr>
          <w:rFonts w:cs="Arial"/>
          <w:sz w:val="24"/>
          <w:szCs w:val="24"/>
        </w:rPr>
      </w:pPr>
      <w:bookmarkStart w:id="46" w:name="_Toc188606069"/>
      <w:r w:rsidRPr="00A0464C">
        <w:rPr>
          <w:rFonts w:cs="Arial"/>
          <w:sz w:val="24"/>
          <w:szCs w:val="24"/>
        </w:rPr>
        <w:t>OMB Compliance Requirements</w:t>
      </w:r>
      <w:bookmarkEnd w:id="46"/>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6EF3">
      <w:pPr>
        <w:pStyle w:val="ListParagraph"/>
        <w:numPr>
          <w:ilvl w:val="0"/>
          <w:numId w:val="43"/>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6EF3">
      <w:pPr>
        <w:pStyle w:val="ListParagraph"/>
        <w:numPr>
          <w:ilvl w:val="0"/>
          <w:numId w:val="43"/>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6EF3">
      <w:pPr>
        <w:pStyle w:val="ListParagraph"/>
        <w:numPr>
          <w:ilvl w:val="1"/>
          <w:numId w:val="41"/>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6EF3">
      <w:pPr>
        <w:pStyle w:val="ListParagraph"/>
        <w:numPr>
          <w:ilvl w:val="0"/>
          <w:numId w:val="44"/>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6EF3">
      <w:pPr>
        <w:pStyle w:val="ListParagraph"/>
        <w:numPr>
          <w:ilvl w:val="1"/>
          <w:numId w:val="44"/>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6EF3">
      <w:pPr>
        <w:pStyle w:val="ListParagraph"/>
        <w:numPr>
          <w:ilvl w:val="1"/>
          <w:numId w:val="44"/>
        </w:numPr>
        <w:spacing w:after="240"/>
        <w:jc w:val="both"/>
        <w:rPr>
          <w:rFonts w:ascii="Arial" w:hAnsi="Arial" w:cs="Arial"/>
        </w:rPr>
      </w:pPr>
      <w:r w:rsidRPr="002A31D0">
        <w:rPr>
          <w:rFonts w:ascii="Arial" w:hAnsi="Arial" w:cs="Arial"/>
          <w:i/>
          <w:iCs/>
        </w:rPr>
        <w:lastRenderedPageBreak/>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6EF3">
      <w:pPr>
        <w:pStyle w:val="ListParagraph"/>
        <w:numPr>
          <w:ilvl w:val="1"/>
          <w:numId w:val="44"/>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6EF3">
      <w:pPr>
        <w:pStyle w:val="ListParagraph"/>
        <w:numPr>
          <w:ilvl w:val="1"/>
          <w:numId w:val="44"/>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6EF3">
      <w:pPr>
        <w:pStyle w:val="ListParagraph"/>
        <w:numPr>
          <w:ilvl w:val="1"/>
          <w:numId w:val="41"/>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C96EF3">
      <w:pPr>
        <w:pStyle w:val="ListParagraph"/>
        <w:numPr>
          <w:ilvl w:val="0"/>
          <w:numId w:val="42"/>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C96EF3">
      <w:pPr>
        <w:pStyle w:val="ListParagraph"/>
        <w:numPr>
          <w:ilvl w:val="0"/>
          <w:numId w:val="42"/>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C96EF3">
      <w:pPr>
        <w:pStyle w:val="ListParagraph"/>
        <w:numPr>
          <w:ilvl w:val="0"/>
          <w:numId w:val="42"/>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C96EF3">
      <w:pPr>
        <w:pStyle w:val="ListParagraph"/>
        <w:numPr>
          <w:ilvl w:val="0"/>
          <w:numId w:val="42"/>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C96EF3">
      <w:pPr>
        <w:pStyle w:val="ListParagraph"/>
        <w:numPr>
          <w:ilvl w:val="0"/>
          <w:numId w:val="42"/>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6EF3">
      <w:pPr>
        <w:pStyle w:val="ListParagraph"/>
        <w:numPr>
          <w:ilvl w:val="1"/>
          <w:numId w:val="41"/>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lastRenderedPageBreak/>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96EF3">
      <w:pPr>
        <w:pStyle w:val="BodyText"/>
        <w:widowControl w:val="0"/>
        <w:numPr>
          <w:ilvl w:val="0"/>
          <w:numId w:val="37"/>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96EF3">
      <w:pPr>
        <w:pStyle w:val="ListParagraph"/>
        <w:widowControl w:val="0"/>
        <w:numPr>
          <w:ilvl w:val="0"/>
          <w:numId w:val="37"/>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96EF3">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96EF3">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lastRenderedPageBreak/>
        <w:t>Audit Objectives: Indirect Costs</w:t>
      </w:r>
    </w:p>
    <w:p w14:paraId="7B1BCDC0" w14:textId="4A4851D5" w:rsidR="00B85001" w:rsidRPr="006C2DCB" w:rsidRDefault="00B85001" w:rsidP="00C96EF3">
      <w:pPr>
        <w:pStyle w:val="ListParagraph"/>
        <w:widowControl w:val="0"/>
        <w:numPr>
          <w:ilvl w:val="0"/>
          <w:numId w:val="37"/>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96EF3">
      <w:pPr>
        <w:pStyle w:val="ListParagraph"/>
        <w:widowControl w:val="0"/>
        <w:numPr>
          <w:ilvl w:val="0"/>
          <w:numId w:val="32"/>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96EF3">
      <w:pPr>
        <w:pStyle w:val="ListParagraph"/>
        <w:widowControl w:val="0"/>
        <w:numPr>
          <w:ilvl w:val="0"/>
          <w:numId w:val="32"/>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96EF3">
      <w:pPr>
        <w:pStyle w:val="ListParagraph"/>
        <w:widowControl w:val="0"/>
        <w:numPr>
          <w:ilvl w:val="0"/>
          <w:numId w:val="32"/>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C96EF3">
      <w:pPr>
        <w:pStyle w:val="ListParagraph"/>
        <w:widowControl w:val="0"/>
        <w:numPr>
          <w:ilvl w:val="0"/>
          <w:numId w:val="32"/>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7" w:name="_Hlk135059089"/>
      <w:r w:rsidRPr="00BF0246">
        <w:rPr>
          <w:rStyle w:val="Hyperlink"/>
          <w:rFonts w:cs="Arial"/>
          <w:b/>
          <w:i/>
          <w:iCs/>
          <w:color w:val="002060"/>
        </w:rPr>
        <w:t>Additional Control Test Objectives for Written Procedures</w:t>
      </w:r>
    </w:p>
    <w:bookmarkEnd w:id="47"/>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96EF3">
      <w:pPr>
        <w:pStyle w:val="ListParagraph"/>
        <w:numPr>
          <w:ilvl w:val="0"/>
          <w:numId w:val="26"/>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C96EF3">
      <w:pPr>
        <w:pStyle w:val="AuditProcedureHeading"/>
        <w:numPr>
          <w:ilvl w:val="0"/>
          <w:numId w:val="26"/>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C96EF3">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96EF3">
      <w:pPr>
        <w:pStyle w:val="ListParagraph"/>
        <w:numPr>
          <w:ilvl w:val="2"/>
          <w:numId w:val="26"/>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96EF3">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96EF3">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96EF3">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96EF3">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96EF3">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96EF3">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96EF3">
      <w:pPr>
        <w:pStyle w:val="AuditProcedureHeading"/>
        <w:numPr>
          <w:ilvl w:val="1"/>
          <w:numId w:val="26"/>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96EF3">
      <w:pPr>
        <w:pStyle w:val="ListParagraph"/>
        <w:numPr>
          <w:ilvl w:val="2"/>
          <w:numId w:val="26"/>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96EF3">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96EF3">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96EF3">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96EF3">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8"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9" w:name="_Hlk137028588"/>
            <w:r w:rsidRPr="002B1229">
              <w:rPr>
                <w:rFonts w:ascii="Arial" w:hAnsi="Arial" w:cs="Arial"/>
                <w:b/>
                <w:i/>
                <w:iCs/>
                <w:color w:val="002060"/>
                <w:sz w:val="20"/>
                <w:szCs w:val="20"/>
              </w:rPr>
              <w:lastRenderedPageBreak/>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9"/>
          </w:p>
          <w:bookmarkEnd w:id="48"/>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C96EF3">
            <w:pPr>
              <w:pStyle w:val="ListParagraph"/>
              <w:numPr>
                <w:ilvl w:val="0"/>
                <w:numId w:val="15"/>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C96EF3">
            <w:pPr>
              <w:numPr>
                <w:ilvl w:val="0"/>
                <w:numId w:val="15"/>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C96EF3">
            <w:pPr>
              <w:keepNext/>
              <w:keepLines/>
              <w:numPr>
                <w:ilvl w:val="0"/>
                <w:numId w:val="15"/>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E89FCEF"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Should there be audit exceptions, corrective action may be taken earlier to minimize questioned costs.  In the next year’s audit, the </w:t>
            </w:r>
            <w:r w:rsidRPr="00F00D94">
              <w:rPr>
                <w:rFonts w:ascii="Arial" w:hAnsi="Arial" w:cs="Arial"/>
                <w:sz w:val="20"/>
              </w:rPr>
              <w:lastRenderedPageBreak/>
              <w:t>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0" w:name="_Toc188606070"/>
      <w:r w:rsidRPr="00FA4759">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93F3B86"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96EF3">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96EF3">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96EF3">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96EF3">
            <w:pPr>
              <w:widowControl w:val="0"/>
              <w:numPr>
                <w:ilvl w:val="0"/>
                <w:numId w:val="2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96EF3">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1"/>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1" w:name="B__LIST_OF_SELECTED_ITEMS"/>
      <w:bookmarkStart w:id="52" w:name="C___CASH_MANAGEMENT"/>
      <w:bookmarkStart w:id="53" w:name="_Toc442267690"/>
      <w:bookmarkStart w:id="54" w:name="_Toc188606071"/>
      <w:bookmarkEnd w:id="51"/>
      <w:bookmarkEnd w:id="52"/>
      <w:r w:rsidRPr="00C95501">
        <w:rPr>
          <w:rFonts w:cs="Arial"/>
          <w:sz w:val="24"/>
        </w:rPr>
        <w:lastRenderedPageBreak/>
        <w:t xml:space="preserve">C. </w:t>
      </w:r>
      <w:r w:rsidR="00341FBE" w:rsidRPr="00C95501">
        <w:rPr>
          <w:rFonts w:cs="Arial"/>
          <w:sz w:val="24"/>
        </w:rPr>
        <w:t>CASH MANAGEMENT</w:t>
      </w:r>
      <w:bookmarkEnd w:id="53"/>
      <w:bookmarkEnd w:id="54"/>
    </w:p>
    <w:p w14:paraId="2DD0D478" w14:textId="77777777" w:rsidR="00341FBE" w:rsidRPr="00C95501" w:rsidRDefault="006A15E5" w:rsidP="006672EA">
      <w:pPr>
        <w:pStyle w:val="Heading3"/>
        <w:jc w:val="both"/>
        <w:rPr>
          <w:rFonts w:cs="Arial"/>
          <w:sz w:val="24"/>
          <w:szCs w:val="24"/>
        </w:rPr>
      </w:pPr>
      <w:bookmarkStart w:id="55" w:name="_Toc442267691"/>
      <w:bookmarkStart w:id="56" w:name="_Toc188606072"/>
      <w:r w:rsidRPr="00C95501">
        <w:rPr>
          <w:rFonts w:cs="Arial"/>
          <w:sz w:val="24"/>
          <w:szCs w:val="24"/>
        </w:rPr>
        <w:t xml:space="preserve">OMB </w:t>
      </w:r>
      <w:r w:rsidR="00341FBE" w:rsidRPr="00C95501">
        <w:rPr>
          <w:rFonts w:cs="Arial"/>
          <w:sz w:val="24"/>
          <w:szCs w:val="24"/>
        </w:rPr>
        <w:t>Compliance Requirements</w:t>
      </w:r>
      <w:bookmarkEnd w:id="55"/>
      <w:bookmarkEnd w:id="56"/>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C96EF3">
      <w:pPr>
        <w:pStyle w:val="ListParagraph"/>
        <w:widowControl w:val="0"/>
        <w:numPr>
          <w:ilvl w:val="0"/>
          <w:numId w:val="33"/>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C96EF3">
      <w:pPr>
        <w:pStyle w:val="ListParagraph"/>
        <w:widowControl w:val="0"/>
        <w:numPr>
          <w:ilvl w:val="0"/>
          <w:numId w:val="33"/>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7F3D8528"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2" w:history="1">
        <w:r w:rsidR="003C0E2D" w:rsidRPr="00F00D94">
          <w:rPr>
            <w:rStyle w:val="Hyperlink"/>
            <w:rFonts w:cs="Arial"/>
          </w:rPr>
          <w:t>31 CFR Part 205</w:t>
        </w:r>
      </w:hyperlink>
      <w:r w:rsidRPr="00F00D94">
        <w:rPr>
          <w:rFonts w:ascii="Arial" w:hAnsi="Arial" w:cs="Arial"/>
        </w:rPr>
        <w:t xml:space="preserve">, </w:t>
      </w:r>
      <w:hyperlink r:id="rId53" w:history="1">
        <w:r w:rsidR="00203D3E" w:rsidRPr="00F00D94">
          <w:rPr>
            <w:rStyle w:val="Hyperlink"/>
            <w:rFonts w:cs="Arial"/>
          </w:rPr>
          <w:t>48 CFR 52.216-7(b)</w:t>
        </w:r>
      </w:hyperlink>
      <w:r w:rsidRPr="00F00D94">
        <w:rPr>
          <w:rFonts w:ascii="Arial" w:hAnsi="Arial" w:cs="Arial"/>
        </w:rPr>
        <w:t xml:space="preserve"> and </w:t>
      </w:r>
      <w:hyperlink r:id="rId54"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0D1DAD46"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5"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6"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7"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7EE7D8A" w14:textId="0DFDA3BC" w:rsidR="00681DA8" w:rsidRPr="00681DA8" w:rsidRDefault="00681DA8" w:rsidP="00434AE4">
      <w:pPr>
        <w:tabs>
          <w:tab w:val="right" w:leader="dot" w:pos="9360"/>
        </w:tabs>
        <w:spacing w:after="240"/>
        <w:jc w:val="both"/>
        <w:rPr>
          <w:rFonts w:ascii="Arial" w:hAnsi="Arial" w:cs="Arial"/>
          <w:bCs/>
          <w:iCs/>
        </w:rPr>
      </w:pPr>
      <w:r w:rsidRPr="00681DA8">
        <w:rPr>
          <w:rFonts w:ascii="Arial" w:hAnsi="Arial" w:cs="Arial"/>
          <w:bCs/>
          <w:iCs/>
        </w:rPr>
        <w:t>The WIC program is subject to the provisions of the Cash Management Improvement Act (CMIA). However, rebates held in state accounts are exempt from the interest provisions of the CMIA (42 USC 1786(h)(8)(J); 7 CFR section 246.15(a)).</w:t>
      </w:r>
    </w:p>
    <w:p w14:paraId="3E4FCDC7" w14:textId="755278BA" w:rsidR="00434AE4" w:rsidRPr="00434AE4" w:rsidRDefault="00434AE4" w:rsidP="00434AE4">
      <w:pPr>
        <w:tabs>
          <w:tab w:val="right" w:leader="dot" w:pos="9360"/>
        </w:tabs>
        <w:spacing w:after="240"/>
        <w:jc w:val="both"/>
        <w:rPr>
          <w:rFonts w:ascii="Arial" w:hAnsi="Arial" w:cs="Arial"/>
          <w:bCs/>
        </w:rPr>
      </w:pPr>
      <w:r w:rsidRPr="0085409E">
        <w:rPr>
          <w:rFonts w:ascii="Arial" w:hAnsi="Arial" w:cs="Arial"/>
          <w:bCs/>
          <w:i/>
        </w:rPr>
        <w:lastRenderedPageBreak/>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7" w:name="_Toc188606073"/>
      <w:r w:rsidRPr="00C95501">
        <w:rPr>
          <w:rFonts w:cs="Arial"/>
          <w:sz w:val="24"/>
          <w:szCs w:val="24"/>
        </w:rPr>
        <w:t>Additional Program Specific Information</w:t>
      </w:r>
      <w:bookmarkEnd w:id="57"/>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3C5644B8" w:rsidR="00CD5DC7" w:rsidRPr="00612E97" w:rsidRDefault="00CD5DC7"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3219E73F" w14:textId="04717C8C" w:rsidR="006E46AD" w:rsidRPr="00AA5B05" w:rsidRDefault="006E46AD"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0D6C7FA" w14:textId="77777777" w:rsidR="00612E97" w:rsidRPr="00B179B9" w:rsidRDefault="00612E97" w:rsidP="00612E97">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u w:val="single"/>
        </w:rPr>
        <w:t>Ohio Department of Health</w:t>
      </w:r>
    </w:p>
    <w:p w14:paraId="2AC2A866"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b/>
          <w:bCs/>
        </w:rPr>
        <w:t>C2.3 Cash Management</w:t>
      </w:r>
      <w:r w:rsidRPr="008F69BA">
        <w:rPr>
          <w:rFonts w:ascii="Arial" w:hAnsi="Arial" w:cs="Arial"/>
          <w:color w:val="000000"/>
        </w:rPr>
        <w:t xml:space="preserve"> </w:t>
      </w:r>
    </w:p>
    <w:p w14:paraId="08C31E16"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color w:val="000000"/>
        </w:rPr>
        <w:t>Grant funds and project income must be accounted for and as such, must be managed in accordance with subrecipient procedures used in managing non-</w:t>
      </w:r>
      <w:r w:rsidRPr="00612E97">
        <w:rPr>
          <w:rFonts w:ascii="Arial" w:hAnsi="Arial" w:cs="Arial"/>
        </w:rPr>
        <w:t xml:space="preserve">project funds. Grant funds must be used only for allowable costs. Any unspent balance must be returned to ODH within forty-five (45) calendar days based on the  date of the invoice received from ODH. It is the </w:t>
      </w:r>
      <w:r w:rsidRPr="008F69BA">
        <w:rPr>
          <w:rFonts w:ascii="Arial" w:hAnsi="Arial" w:cs="Arial"/>
          <w:color w:val="000000"/>
        </w:rPr>
        <w:t>responsibility of the project director to maintain communication with the agency director and the chief fiscal officer to ensure that these conditions are met.</w:t>
      </w:r>
    </w:p>
    <w:p w14:paraId="4065DAFA"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color w:val="000000"/>
        </w:rPr>
        <w:t xml:space="preserve">Grant funds received as checks and/or project income must be deposited promptly, </w:t>
      </w:r>
      <w:r w:rsidRPr="008F69BA">
        <w:rPr>
          <w:rFonts w:ascii="Arial" w:hAnsi="Arial" w:cs="Arial"/>
          <w:b/>
          <w:bCs/>
          <w:color w:val="000000"/>
        </w:rPr>
        <w:t>no later than three (3) calendar days after the date of receipt.</w:t>
      </w:r>
    </w:p>
    <w:p w14:paraId="1E8E9060"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 xml:space="preserve">C2.6 Co-Mingling of Funds </w:t>
      </w:r>
    </w:p>
    <w:p w14:paraId="5E456766"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 xml:space="preserve">Physical segregation of cash deposits or the establishment of any eligibility requirements for funds, which are provided, to a subrecipient is not required. </w:t>
      </w:r>
      <w:r w:rsidRPr="008F69BA">
        <w:rPr>
          <w:rFonts w:ascii="Arial" w:hAnsi="Arial" w:cs="Arial"/>
        </w:rPr>
        <w:t>However, the accounting systems of all</w:t>
      </w:r>
      <w:r w:rsidRPr="008F69BA">
        <w:rPr>
          <w:rFonts w:ascii="Arial" w:hAnsi="Arial" w:cs="Arial"/>
          <w:b/>
          <w:bCs/>
        </w:rPr>
        <w:t xml:space="preserve"> </w:t>
      </w:r>
      <w:r w:rsidRPr="008F69BA">
        <w:rPr>
          <w:rFonts w:ascii="Arial" w:hAnsi="Arial" w:cs="Arial"/>
        </w:rPr>
        <w:t>subrecipients must ensure that project funds are not co-mingling with other federal or state funds. Each</w:t>
      </w:r>
      <w:r w:rsidRPr="008F69BA">
        <w:rPr>
          <w:rFonts w:ascii="Arial" w:hAnsi="Arial" w:cs="Arial"/>
          <w:b/>
          <w:bCs/>
        </w:rPr>
        <w:t xml:space="preserve"> </w:t>
      </w:r>
      <w:r w:rsidRPr="008F69BA">
        <w:rPr>
          <w:rFonts w:ascii="Arial" w:hAnsi="Arial" w:cs="Arial"/>
        </w:rPr>
        <w:t xml:space="preserve">grant must be accounted for separately. Subrecipients </w:t>
      </w:r>
      <w:r w:rsidRPr="008F69BA">
        <w:rPr>
          <w:rFonts w:ascii="Arial" w:hAnsi="Arial" w:cs="Arial"/>
          <w:b/>
          <w:bCs/>
        </w:rPr>
        <w:t xml:space="preserve">are prohibited </w:t>
      </w:r>
      <w:r w:rsidRPr="008F69BA">
        <w:rPr>
          <w:rFonts w:ascii="Arial" w:hAnsi="Arial" w:cs="Arial"/>
        </w:rPr>
        <w:t>from co-mingling funds on either a</w:t>
      </w:r>
      <w:r w:rsidRPr="008F69BA">
        <w:rPr>
          <w:rFonts w:ascii="Arial" w:hAnsi="Arial" w:cs="Arial"/>
          <w:b/>
          <w:bCs/>
        </w:rPr>
        <w:t xml:space="preserve"> </w:t>
      </w:r>
      <w:r w:rsidRPr="008F69BA">
        <w:rPr>
          <w:rFonts w:ascii="Arial" w:hAnsi="Arial" w:cs="Arial"/>
        </w:rPr>
        <w:t>project-by-project basis or a program-by-program basis.</w:t>
      </w:r>
    </w:p>
    <w:p w14:paraId="279C9A8F"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Funds specifically budgeted and/or received for one project may not be used to support another. If a subrecipient’s accounting system cannot comply with this requirement, the subrecipient shall establish a system to account adequately for each project separately.</w:t>
      </w:r>
    </w:p>
    <w:p w14:paraId="3DE22602" w14:textId="77777777" w:rsidR="00612E97" w:rsidRPr="008F69BA" w:rsidRDefault="00612E97" w:rsidP="00612E97">
      <w:pPr>
        <w:autoSpaceDE w:val="0"/>
        <w:autoSpaceDN w:val="0"/>
        <w:adjustRightInd w:val="0"/>
        <w:spacing w:after="240"/>
        <w:jc w:val="both"/>
        <w:rPr>
          <w:rFonts w:ascii="Arial" w:hAnsi="Arial" w:cs="Arial"/>
          <w:color w:val="000000"/>
        </w:rPr>
      </w:pPr>
      <w:r w:rsidRPr="008F69BA">
        <w:rPr>
          <w:rFonts w:ascii="Arial" w:hAnsi="Arial" w:cs="Arial"/>
          <w:b/>
          <w:bCs/>
        </w:rPr>
        <w:t>D1.5 Interest Income</w:t>
      </w:r>
      <w:r w:rsidRPr="008F69BA">
        <w:rPr>
          <w:rFonts w:ascii="Arial" w:hAnsi="Arial" w:cs="Arial"/>
          <w:color w:val="000000"/>
        </w:rPr>
        <w:t xml:space="preserve"> </w:t>
      </w:r>
    </w:p>
    <w:p w14:paraId="27D8EE33" w14:textId="77777777" w:rsidR="00612E97" w:rsidRPr="008F69BA" w:rsidRDefault="00612E97" w:rsidP="00612E97">
      <w:pPr>
        <w:autoSpaceDE w:val="0"/>
        <w:autoSpaceDN w:val="0"/>
        <w:adjustRightInd w:val="0"/>
        <w:spacing w:after="240"/>
        <w:jc w:val="both"/>
        <w:rPr>
          <w:rFonts w:ascii="Arial" w:hAnsi="Arial" w:cs="Arial"/>
          <w:i/>
          <w:iCs/>
          <w:color w:val="000000"/>
        </w:rPr>
      </w:pPr>
      <w:r w:rsidRPr="008F69BA">
        <w:rPr>
          <w:rFonts w:ascii="Arial" w:hAnsi="Arial" w:cs="Arial"/>
          <w:color w:val="000000"/>
        </w:rPr>
        <w:t xml:space="preserve">Income earned by the subrecipient on the subrecipient’s own financial resources may be used to support the program as program funds. Interest earned on federal funds must be treated according to the federal regulations governing the </w:t>
      </w:r>
      <w:r w:rsidRPr="008F69BA">
        <w:rPr>
          <w:rFonts w:ascii="Arial" w:hAnsi="Arial" w:cs="Arial"/>
        </w:rPr>
        <w:t>program funding source (e.g., 7 CFR 3016 for non-entitlement USDA funded programs, 7 CFR 3015 for US</w:t>
      </w:r>
      <w:r w:rsidRPr="008F69BA">
        <w:rPr>
          <w:rFonts w:ascii="Arial" w:hAnsi="Arial" w:cs="Arial"/>
          <w:color w:val="000000"/>
        </w:rPr>
        <w:t>DA entitlement programs, or OMB Circulars A-102 or A-110).</w:t>
      </w:r>
    </w:p>
    <w:p w14:paraId="4836DB57" w14:textId="549720E8" w:rsidR="00612E97" w:rsidRPr="008F69BA" w:rsidRDefault="00612E97" w:rsidP="00612E97">
      <w:pPr>
        <w:autoSpaceDE w:val="0"/>
        <w:autoSpaceDN w:val="0"/>
        <w:adjustRightInd w:val="0"/>
        <w:spacing w:after="240"/>
        <w:jc w:val="both"/>
        <w:rPr>
          <w:rFonts w:ascii="Arial" w:hAnsi="Arial" w:cs="Arial"/>
          <w:i/>
          <w:iCs/>
          <w:color w:val="000000"/>
        </w:rPr>
      </w:pPr>
      <w:r w:rsidRPr="008F69BA">
        <w:rPr>
          <w:rFonts w:ascii="Arial" w:hAnsi="Arial" w:cs="Arial"/>
          <w:i/>
          <w:iCs/>
          <w:color w:val="000000"/>
        </w:rPr>
        <w:t xml:space="preserve">Nongovernmental recipients </w:t>
      </w:r>
      <w:r w:rsidRPr="008F69BA">
        <w:rPr>
          <w:rFonts w:ascii="Arial" w:hAnsi="Arial" w:cs="Arial"/>
          <w:color w:val="000000"/>
        </w:rPr>
        <w:t xml:space="preserve">– For all federal grant awards and sub-rewards, any interest earned by nongovernmental recipients on advances of federal funds that exceeds $250 per year in the aggregate must be remitted annually through </w:t>
      </w:r>
      <w:r>
        <w:rPr>
          <w:rFonts w:ascii="Arial" w:hAnsi="Arial" w:cs="Arial"/>
          <w:color w:val="000000"/>
        </w:rPr>
        <w:t>ODH.</w:t>
      </w:r>
      <w:r w:rsidRPr="008F69BA">
        <w:rPr>
          <w:rFonts w:ascii="Arial" w:hAnsi="Arial" w:cs="Arial"/>
          <w:color w:val="000000"/>
        </w:rPr>
        <w:t xml:space="preserve"> (The year is based on the recipient’s or subrecipient’s fiscal year.) Recipients with electronic funds transfer (EFT) capability should remit interest electronically.</w:t>
      </w:r>
    </w:p>
    <w:p w14:paraId="7B897703"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i/>
          <w:iCs/>
          <w:color w:val="000000"/>
        </w:rPr>
        <w:lastRenderedPageBreak/>
        <w:t xml:space="preserve">Governmental recipients other than States </w:t>
      </w:r>
      <w:r w:rsidRPr="008F69BA">
        <w:rPr>
          <w:rFonts w:ascii="Arial" w:hAnsi="Arial" w:cs="Arial"/>
          <w:color w:val="000000"/>
        </w:rPr>
        <w:t xml:space="preserve">- Except as </w:t>
      </w:r>
      <w:r w:rsidRPr="008F69BA">
        <w:rPr>
          <w:rFonts w:ascii="Arial" w:hAnsi="Arial" w:cs="Arial"/>
        </w:rPr>
        <w:t xml:space="preserve">provided in Uniform Guidance, for all federal grant awards and sub-awards, any interest earned by local governments or Indian tribal governments </w:t>
      </w:r>
      <w:r w:rsidRPr="008F69BA">
        <w:rPr>
          <w:rFonts w:ascii="Arial" w:hAnsi="Arial" w:cs="Arial"/>
          <w:color w:val="000000"/>
        </w:rPr>
        <w:t>on advances of federal funds that exceeds $500 per year in the aggregate must be remitted at least quarterly. (The year is based on the recipient’s or subrecipient’s fiscal year.)</w:t>
      </w:r>
    </w:p>
    <w:p w14:paraId="63A7A932"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D2.0 Grant Payments</w:t>
      </w:r>
      <w:r w:rsidRPr="008F69BA">
        <w:rPr>
          <w:rFonts w:ascii="Arial" w:hAnsi="Arial" w:cs="Arial"/>
        </w:rPr>
        <w:t xml:space="preserve"> </w:t>
      </w:r>
    </w:p>
    <w:p w14:paraId="3212CDC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Grant payments will be made in a timely manner to support project operations and to minimize the cash flow problems of subrecipient agencies.</w:t>
      </w:r>
    </w:p>
    <w:p w14:paraId="166D8412"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The financial support for the subrecipient in meeting the grant’s goals objectives include grant payments from ODH , matching funds or cost sharing, in-kind contributions, project income, and donations. In some cases, financial support may also include rebates. This section provides policies and procedures for ODH grant payments.</w:t>
      </w:r>
    </w:p>
    <w:p w14:paraId="0270572C"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The grant payment will be released when all of the following conditions are met:</w:t>
      </w:r>
    </w:p>
    <w:p w14:paraId="2ACCE20A"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Federal Notice of Grant Award and grant funds are received for federally funded projects.</w:t>
      </w:r>
    </w:p>
    <w:p w14:paraId="1108762D"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Appropriation authority is received from the state legislature for state funded programs.</w:t>
      </w:r>
    </w:p>
    <w:p w14:paraId="0CAA4CFB"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The project budget has been approved.</w:t>
      </w:r>
    </w:p>
    <w:p w14:paraId="7C57E83C"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Funds have been encumbered.</w:t>
      </w:r>
    </w:p>
    <w:p w14:paraId="537548B2"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The Subrecipient Award Approval Notice (SAAN) is approved.</w:t>
      </w:r>
    </w:p>
    <w:p w14:paraId="5572BB17"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NOA is issued by the ODH Director.</w:t>
      </w:r>
    </w:p>
    <w:p w14:paraId="2D8046CF" w14:textId="77777777" w:rsidR="00612E97" w:rsidRPr="008F69BA" w:rsidRDefault="00612E97" w:rsidP="00C96EF3">
      <w:pPr>
        <w:pStyle w:val="ListParagraph"/>
        <w:numPr>
          <w:ilvl w:val="0"/>
          <w:numId w:val="63"/>
        </w:numPr>
        <w:spacing w:after="240"/>
        <w:jc w:val="both"/>
        <w:rPr>
          <w:rFonts w:ascii="Arial" w:hAnsi="Arial" w:cs="Arial"/>
        </w:rPr>
      </w:pPr>
      <w:r w:rsidRPr="008F69BA">
        <w:rPr>
          <w:rFonts w:ascii="Arial" w:hAnsi="Arial" w:cs="Arial"/>
        </w:rPr>
        <w:t>Expense Report is submitted.</w:t>
      </w:r>
    </w:p>
    <w:p w14:paraId="2D294ACB"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Actual grant payments are based on the approved budget in the project application or its subsequent revision; state or federal grant conditions; and adjustments made based on the most recent expenditure report, grant reduction, or audit findings. Subrecipients are permitted to add staff to the personnel category, without an approved budget, as long as the additional has been approved by ODH program staff.  ODH program staff is required to enter an approval comment in GMIS.</w:t>
      </w:r>
    </w:p>
    <w:p w14:paraId="24270E30"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
          <w:bCs/>
        </w:rPr>
        <w:t>D2.1 Payment Process</w:t>
      </w:r>
      <w:r w:rsidRPr="008F69BA">
        <w:rPr>
          <w:rFonts w:ascii="Arial" w:hAnsi="Arial" w:cs="Arial"/>
        </w:rPr>
        <w:t xml:space="preserve"> </w:t>
      </w:r>
    </w:p>
    <w:p w14:paraId="09580302"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All payments of funds by ODH to the subrecipient are in accordance with the conditions of the grant.</w:t>
      </w:r>
    </w:p>
    <w:p w14:paraId="107826B7"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Payments are based on actual expenditures and a cost reimbursement basis. Payments are adjusted according to the proportion of required matching funds contributed and the grant cash balances.</w:t>
      </w:r>
    </w:p>
    <w:p w14:paraId="6C71FCCA"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All payments are made through electronic funds transfer (EFT) via Ohio Administrative Knowledge System (OAKS)</w:t>
      </w:r>
      <w:r w:rsidRPr="008F69BA">
        <w:rPr>
          <w:rFonts w:ascii="Arial" w:hAnsi="Arial" w:cs="Arial"/>
          <w:b/>
          <w:bCs/>
        </w:rPr>
        <w:t>.</w:t>
      </w:r>
    </w:p>
    <w:p w14:paraId="6BFBC811"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Payments for deliverables are based on the deliverable payment schedule, the subrecipient’s completion of each deliverable and ODH’s validation of the completion. Costs will be disallowed if a payment is requested for an unmet deliverable. The automatic payment for subrecipients who request costs more than 2 times for unmet deliverables will be removed.</w:t>
      </w:r>
    </w:p>
    <w:p w14:paraId="35372997"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bCs/>
        </w:rPr>
        <w:t>Note: For County Based Agencies: The County Auditor can give the subrecipient the access information for the OAKS system.</w:t>
      </w:r>
    </w:p>
    <w:p w14:paraId="2043519C" w14:textId="77777777" w:rsidR="00612E97" w:rsidRDefault="00612E97" w:rsidP="00612E97">
      <w:pPr>
        <w:autoSpaceDE w:val="0"/>
        <w:autoSpaceDN w:val="0"/>
        <w:adjustRightInd w:val="0"/>
        <w:spacing w:after="240"/>
        <w:jc w:val="both"/>
        <w:rPr>
          <w:rFonts w:ascii="Arial" w:hAnsi="Arial" w:cs="Arial"/>
        </w:rPr>
      </w:pPr>
      <w:r w:rsidRPr="008F69BA">
        <w:rPr>
          <w:rFonts w:ascii="Arial" w:hAnsi="Arial" w:cs="Arial"/>
        </w:rPr>
        <w:lastRenderedPageBreak/>
        <w:t>The project director receives a transmittal notice in the mail as verification of the payment. After the payment is issued, specific information detailing the amount, the period covered and the date paid will display in the GMIS “Payments” link. Subsequent payment information will display in the “Payments” link as future payments are made.</w:t>
      </w:r>
    </w:p>
    <w:p w14:paraId="519E99A6" w14:textId="77777777" w:rsidR="00612E97" w:rsidRPr="008F69BA" w:rsidRDefault="00612E97" w:rsidP="00612E97">
      <w:pPr>
        <w:autoSpaceDE w:val="0"/>
        <w:autoSpaceDN w:val="0"/>
        <w:adjustRightInd w:val="0"/>
        <w:spacing w:after="240"/>
        <w:jc w:val="both"/>
        <w:rPr>
          <w:rFonts w:ascii="Arial" w:hAnsi="Arial" w:cs="Arial"/>
        </w:rPr>
      </w:pPr>
      <w:r w:rsidRPr="008F69BA">
        <w:rPr>
          <w:rFonts w:ascii="Arial" w:hAnsi="Arial" w:cs="Arial"/>
        </w:rPr>
        <w:t>Payment cycle is monthly or quarterly in conjunction with the reporting period unless stated otherwise in the Solicitation.</w:t>
      </w:r>
    </w:p>
    <w:p w14:paraId="4C795630"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 xml:space="preserve">D2.2 Payment Schedule </w:t>
      </w:r>
    </w:p>
    <w:p w14:paraId="65EC43F4"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Reimbursement Schedule</w:t>
      </w:r>
    </w:p>
    <w:p w14:paraId="33F7E3A6" w14:textId="77777777" w:rsidR="00612E97" w:rsidRPr="008F69BA" w:rsidRDefault="00612E97" w:rsidP="00612E97">
      <w:pPr>
        <w:autoSpaceDE w:val="0"/>
        <w:autoSpaceDN w:val="0"/>
        <w:adjustRightInd w:val="0"/>
        <w:spacing w:after="240"/>
        <w:jc w:val="both"/>
        <w:rPr>
          <w:rFonts w:ascii="Arial" w:hAnsi="Arial" w:cs="Arial"/>
          <w:b/>
          <w:bCs/>
        </w:rPr>
      </w:pPr>
      <w:r w:rsidRPr="008F69BA">
        <w:rPr>
          <w:rFonts w:ascii="Arial" w:hAnsi="Arial" w:cs="Arial"/>
        </w:rPr>
        <w:t>Subrecipients can select either monthly or quarterly reimbursement from ODH.</w:t>
      </w:r>
    </w:p>
    <w:tbl>
      <w:tblPr>
        <w:tblStyle w:val="TableGrid"/>
        <w:tblpPr w:leftFromText="180" w:rightFromText="180" w:vertAnchor="text" w:horzAnchor="margin" w:tblpY="337"/>
        <w:tblW w:w="0" w:type="auto"/>
        <w:tblLook w:val="04A0" w:firstRow="1" w:lastRow="0" w:firstColumn="1" w:lastColumn="0" w:noHBand="0" w:noVBand="1"/>
      </w:tblPr>
      <w:tblGrid>
        <w:gridCol w:w="4675"/>
        <w:gridCol w:w="4675"/>
      </w:tblGrid>
      <w:tr w:rsidR="00612E97" w:rsidRPr="008F69BA" w14:paraId="057BF778" w14:textId="77777777" w:rsidTr="0017447B">
        <w:trPr>
          <w:trHeight w:hRule="exact" w:val="288"/>
        </w:trPr>
        <w:tc>
          <w:tcPr>
            <w:tcW w:w="4675" w:type="dxa"/>
          </w:tcPr>
          <w:p w14:paraId="47E52262" w14:textId="77777777" w:rsidR="00612E97" w:rsidRPr="00EA1593" w:rsidRDefault="00612E97" w:rsidP="0017447B">
            <w:pPr>
              <w:keepNext/>
              <w:keepLines/>
              <w:spacing w:after="240"/>
              <w:jc w:val="both"/>
              <w:rPr>
                <w:rFonts w:ascii="Arial" w:hAnsi="Arial" w:cs="Arial"/>
                <w:b/>
                <w:sz w:val="20"/>
                <w:szCs w:val="20"/>
              </w:rPr>
            </w:pPr>
            <w:r w:rsidRPr="00EA1593">
              <w:rPr>
                <w:rFonts w:ascii="Arial" w:hAnsi="Arial" w:cs="Arial"/>
                <w:b/>
                <w:sz w:val="20"/>
                <w:szCs w:val="20"/>
              </w:rPr>
              <w:t>Period</w:t>
            </w:r>
          </w:p>
        </w:tc>
        <w:tc>
          <w:tcPr>
            <w:tcW w:w="4675" w:type="dxa"/>
          </w:tcPr>
          <w:p w14:paraId="3C64E397" w14:textId="77777777" w:rsidR="00612E97" w:rsidRPr="00EA1593" w:rsidRDefault="00612E97" w:rsidP="0017447B">
            <w:pPr>
              <w:keepNext/>
              <w:keepLines/>
              <w:spacing w:after="240"/>
              <w:jc w:val="both"/>
              <w:rPr>
                <w:rFonts w:ascii="Arial" w:hAnsi="Arial" w:cs="Arial"/>
                <w:b/>
                <w:sz w:val="20"/>
                <w:szCs w:val="20"/>
              </w:rPr>
            </w:pPr>
            <w:r w:rsidRPr="00EA1593">
              <w:rPr>
                <w:rFonts w:ascii="Arial" w:hAnsi="Arial" w:cs="Arial"/>
                <w:b/>
                <w:sz w:val="20"/>
                <w:szCs w:val="20"/>
              </w:rPr>
              <w:t>Report Due Date</w:t>
            </w:r>
          </w:p>
        </w:tc>
      </w:tr>
      <w:tr w:rsidR="00612E97" w:rsidRPr="008F69BA" w14:paraId="521623D7" w14:textId="77777777" w:rsidTr="0017447B">
        <w:trPr>
          <w:trHeight w:hRule="exact" w:val="288"/>
        </w:trPr>
        <w:tc>
          <w:tcPr>
            <w:tcW w:w="4675" w:type="dxa"/>
          </w:tcPr>
          <w:p w14:paraId="7FD1616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 xml:space="preserve">January 1 </w:t>
            </w:r>
            <w:r>
              <w:rPr>
                <w:rFonts w:ascii="Arial" w:hAnsi="Arial" w:cs="Arial"/>
                <w:bCs/>
                <w:sz w:val="20"/>
                <w:szCs w:val="20"/>
              </w:rPr>
              <w:t>–</w:t>
            </w:r>
            <w:r w:rsidRPr="008F69BA">
              <w:rPr>
                <w:rFonts w:ascii="Arial" w:hAnsi="Arial" w:cs="Arial"/>
                <w:bCs/>
                <w:sz w:val="20"/>
                <w:szCs w:val="20"/>
              </w:rPr>
              <w:t xml:space="preserve"> 31</w:t>
            </w:r>
          </w:p>
        </w:tc>
        <w:tc>
          <w:tcPr>
            <w:tcW w:w="4675" w:type="dxa"/>
          </w:tcPr>
          <w:p w14:paraId="1E919537"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February 10</w:t>
            </w:r>
          </w:p>
        </w:tc>
      </w:tr>
      <w:tr w:rsidR="00612E97" w:rsidRPr="008F69BA" w14:paraId="5E9EAEED" w14:textId="77777777" w:rsidTr="0017447B">
        <w:trPr>
          <w:trHeight w:hRule="exact" w:val="288"/>
        </w:trPr>
        <w:tc>
          <w:tcPr>
            <w:tcW w:w="4675" w:type="dxa"/>
          </w:tcPr>
          <w:p w14:paraId="3669C62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February 1 - 28 or 29</w:t>
            </w:r>
          </w:p>
        </w:tc>
        <w:tc>
          <w:tcPr>
            <w:tcW w:w="4675" w:type="dxa"/>
          </w:tcPr>
          <w:p w14:paraId="12E4626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March 10</w:t>
            </w:r>
          </w:p>
        </w:tc>
      </w:tr>
      <w:tr w:rsidR="00612E97" w:rsidRPr="008F69BA" w14:paraId="7C910981" w14:textId="77777777" w:rsidTr="0017447B">
        <w:trPr>
          <w:trHeight w:hRule="exact" w:val="288"/>
        </w:trPr>
        <w:tc>
          <w:tcPr>
            <w:tcW w:w="4675" w:type="dxa"/>
          </w:tcPr>
          <w:p w14:paraId="08A9A0D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March 1 – 31</w:t>
            </w:r>
          </w:p>
        </w:tc>
        <w:tc>
          <w:tcPr>
            <w:tcW w:w="4675" w:type="dxa"/>
          </w:tcPr>
          <w:p w14:paraId="6E8B999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April 10</w:t>
            </w:r>
          </w:p>
        </w:tc>
      </w:tr>
      <w:tr w:rsidR="00612E97" w:rsidRPr="008F69BA" w14:paraId="7B1C67DC" w14:textId="77777777" w:rsidTr="0017447B">
        <w:trPr>
          <w:trHeight w:hRule="exact" w:val="288"/>
        </w:trPr>
        <w:tc>
          <w:tcPr>
            <w:tcW w:w="4675" w:type="dxa"/>
          </w:tcPr>
          <w:p w14:paraId="6326823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April 1 – 30</w:t>
            </w:r>
          </w:p>
        </w:tc>
        <w:tc>
          <w:tcPr>
            <w:tcW w:w="4675" w:type="dxa"/>
          </w:tcPr>
          <w:p w14:paraId="575F390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May 10</w:t>
            </w:r>
          </w:p>
        </w:tc>
      </w:tr>
      <w:tr w:rsidR="00612E97" w:rsidRPr="008F69BA" w14:paraId="2167ADBD" w14:textId="77777777" w:rsidTr="0017447B">
        <w:trPr>
          <w:trHeight w:hRule="exact" w:val="288"/>
        </w:trPr>
        <w:tc>
          <w:tcPr>
            <w:tcW w:w="4675" w:type="dxa"/>
          </w:tcPr>
          <w:p w14:paraId="0BC94F59"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May 1 – 31</w:t>
            </w:r>
          </w:p>
        </w:tc>
        <w:tc>
          <w:tcPr>
            <w:tcW w:w="4675" w:type="dxa"/>
          </w:tcPr>
          <w:p w14:paraId="44F5B68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June 10</w:t>
            </w:r>
          </w:p>
        </w:tc>
      </w:tr>
      <w:tr w:rsidR="00612E97" w:rsidRPr="008F69BA" w14:paraId="088411B4" w14:textId="77777777" w:rsidTr="0017447B">
        <w:trPr>
          <w:trHeight w:hRule="exact" w:val="288"/>
        </w:trPr>
        <w:tc>
          <w:tcPr>
            <w:tcW w:w="4675" w:type="dxa"/>
          </w:tcPr>
          <w:p w14:paraId="2180DF96"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June 1 – 30</w:t>
            </w:r>
          </w:p>
        </w:tc>
        <w:tc>
          <w:tcPr>
            <w:tcW w:w="4675" w:type="dxa"/>
          </w:tcPr>
          <w:p w14:paraId="680E529C"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July 10</w:t>
            </w:r>
          </w:p>
        </w:tc>
      </w:tr>
      <w:tr w:rsidR="00612E97" w:rsidRPr="008F69BA" w14:paraId="44B7CDD8" w14:textId="77777777" w:rsidTr="0017447B">
        <w:trPr>
          <w:trHeight w:hRule="exact" w:val="288"/>
        </w:trPr>
        <w:tc>
          <w:tcPr>
            <w:tcW w:w="4675" w:type="dxa"/>
          </w:tcPr>
          <w:p w14:paraId="4DA7D080"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July 1 - 31</w:t>
            </w:r>
          </w:p>
        </w:tc>
        <w:tc>
          <w:tcPr>
            <w:tcW w:w="4675" w:type="dxa"/>
          </w:tcPr>
          <w:p w14:paraId="39F69B7D"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August 10</w:t>
            </w:r>
          </w:p>
        </w:tc>
      </w:tr>
      <w:tr w:rsidR="00612E97" w:rsidRPr="008F69BA" w14:paraId="1EB5043A" w14:textId="77777777" w:rsidTr="0017447B">
        <w:trPr>
          <w:trHeight w:hRule="exact" w:val="288"/>
        </w:trPr>
        <w:tc>
          <w:tcPr>
            <w:tcW w:w="4675" w:type="dxa"/>
          </w:tcPr>
          <w:p w14:paraId="5A60C397"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August 1 – 31</w:t>
            </w:r>
          </w:p>
        </w:tc>
        <w:tc>
          <w:tcPr>
            <w:tcW w:w="4675" w:type="dxa"/>
          </w:tcPr>
          <w:p w14:paraId="4D3C55D1"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September 10</w:t>
            </w:r>
          </w:p>
        </w:tc>
      </w:tr>
      <w:tr w:rsidR="00612E97" w:rsidRPr="008F69BA" w14:paraId="1F3FE451" w14:textId="77777777" w:rsidTr="0017447B">
        <w:trPr>
          <w:trHeight w:hRule="exact" w:val="288"/>
        </w:trPr>
        <w:tc>
          <w:tcPr>
            <w:tcW w:w="4675" w:type="dxa"/>
          </w:tcPr>
          <w:p w14:paraId="216FDB9F"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September 1 – 30</w:t>
            </w:r>
          </w:p>
        </w:tc>
        <w:tc>
          <w:tcPr>
            <w:tcW w:w="4675" w:type="dxa"/>
          </w:tcPr>
          <w:p w14:paraId="5B491F3A"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October 10</w:t>
            </w:r>
          </w:p>
        </w:tc>
      </w:tr>
      <w:tr w:rsidR="00612E97" w:rsidRPr="008F69BA" w14:paraId="4876F5C7" w14:textId="77777777" w:rsidTr="0017447B">
        <w:trPr>
          <w:trHeight w:hRule="exact" w:val="288"/>
        </w:trPr>
        <w:tc>
          <w:tcPr>
            <w:tcW w:w="4675" w:type="dxa"/>
          </w:tcPr>
          <w:p w14:paraId="7126AEA5"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October 1 – 31</w:t>
            </w:r>
          </w:p>
        </w:tc>
        <w:tc>
          <w:tcPr>
            <w:tcW w:w="4675" w:type="dxa"/>
          </w:tcPr>
          <w:p w14:paraId="7406EB1F"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November 10</w:t>
            </w:r>
          </w:p>
        </w:tc>
      </w:tr>
      <w:tr w:rsidR="00612E97" w:rsidRPr="008F69BA" w14:paraId="65EB4C12" w14:textId="77777777" w:rsidTr="0017447B">
        <w:trPr>
          <w:trHeight w:hRule="exact" w:val="288"/>
        </w:trPr>
        <w:tc>
          <w:tcPr>
            <w:tcW w:w="4675" w:type="dxa"/>
          </w:tcPr>
          <w:p w14:paraId="16BFB454"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November 1 – 30</w:t>
            </w:r>
          </w:p>
        </w:tc>
        <w:tc>
          <w:tcPr>
            <w:tcW w:w="4675" w:type="dxa"/>
          </w:tcPr>
          <w:p w14:paraId="5375B69B" w14:textId="77777777" w:rsidR="00612E97" w:rsidRPr="008F69BA" w:rsidRDefault="00612E97" w:rsidP="0017447B">
            <w:pPr>
              <w:keepNext/>
              <w:keepLines/>
              <w:spacing w:after="240"/>
              <w:jc w:val="both"/>
              <w:rPr>
                <w:rFonts w:ascii="Arial" w:hAnsi="Arial" w:cs="Arial"/>
                <w:bCs/>
                <w:sz w:val="20"/>
                <w:szCs w:val="20"/>
              </w:rPr>
            </w:pPr>
            <w:r w:rsidRPr="008F69BA">
              <w:rPr>
                <w:rFonts w:ascii="Arial" w:hAnsi="Arial" w:cs="Arial"/>
                <w:bCs/>
                <w:sz w:val="20"/>
                <w:szCs w:val="20"/>
              </w:rPr>
              <w:t>December 10</w:t>
            </w:r>
          </w:p>
        </w:tc>
      </w:tr>
      <w:tr w:rsidR="00612E97" w:rsidRPr="00B179B9" w14:paraId="25694C80" w14:textId="77777777" w:rsidTr="0017447B">
        <w:trPr>
          <w:trHeight w:hRule="exact" w:val="288"/>
        </w:trPr>
        <w:tc>
          <w:tcPr>
            <w:tcW w:w="4675" w:type="dxa"/>
          </w:tcPr>
          <w:p w14:paraId="0ED240BC"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December 1 - 31</w:t>
            </w:r>
          </w:p>
        </w:tc>
        <w:tc>
          <w:tcPr>
            <w:tcW w:w="4675" w:type="dxa"/>
          </w:tcPr>
          <w:p w14:paraId="330A18E1"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January 10</w:t>
            </w:r>
          </w:p>
        </w:tc>
      </w:tr>
    </w:tbl>
    <w:p w14:paraId="53A89F65" w14:textId="77777777" w:rsidR="00612E97" w:rsidRPr="00B179B9" w:rsidRDefault="00612E97" w:rsidP="00612E97">
      <w:pPr>
        <w:autoSpaceDE w:val="0"/>
        <w:autoSpaceDN w:val="0"/>
        <w:adjustRightInd w:val="0"/>
        <w:spacing w:after="240"/>
        <w:jc w:val="both"/>
        <w:rPr>
          <w:rFonts w:ascii="Arial" w:hAnsi="Arial" w:cs="Arial"/>
          <w:b/>
          <w:bCs/>
        </w:rPr>
      </w:pPr>
      <w:r w:rsidRPr="008F69BA">
        <w:rPr>
          <w:rFonts w:ascii="Arial" w:hAnsi="Arial" w:cs="Arial"/>
          <w:b/>
          <w:bCs/>
        </w:rPr>
        <w:t>Monthly</w:t>
      </w:r>
    </w:p>
    <w:p w14:paraId="06F7B7D1" w14:textId="77777777" w:rsidR="00612E97" w:rsidRPr="00B179B9" w:rsidRDefault="00612E97" w:rsidP="00612E97">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8538366" w14:textId="77777777" w:rsidR="00612E97" w:rsidRDefault="00612E97" w:rsidP="00612E97">
      <w:pPr>
        <w:spacing w:after="240"/>
        <w:jc w:val="both"/>
        <w:rPr>
          <w:rFonts w:ascii="Arial" w:hAnsi="Arial" w:cs="Arial"/>
          <w:b/>
          <w:bCs/>
        </w:rPr>
      </w:pPr>
      <w:r w:rsidRPr="00B179B9">
        <w:rPr>
          <w:rFonts w:ascii="Arial" w:hAnsi="Arial" w:cs="Arial"/>
          <w:b/>
          <w:bCs/>
        </w:rPr>
        <w:t>Quarterly</w:t>
      </w:r>
    </w:p>
    <w:tbl>
      <w:tblPr>
        <w:tblStyle w:val="TableGrid"/>
        <w:tblW w:w="0" w:type="auto"/>
        <w:tblLook w:val="04A0" w:firstRow="1" w:lastRow="0" w:firstColumn="1" w:lastColumn="0" w:noHBand="0" w:noVBand="1"/>
      </w:tblPr>
      <w:tblGrid>
        <w:gridCol w:w="4675"/>
        <w:gridCol w:w="4675"/>
      </w:tblGrid>
      <w:tr w:rsidR="00612E97" w:rsidRPr="00B179B9" w14:paraId="48F0BDB9" w14:textId="77777777" w:rsidTr="0017447B">
        <w:trPr>
          <w:trHeight w:hRule="exact" w:val="288"/>
        </w:trPr>
        <w:tc>
          <w:tcPr>
            <w:tcW w:w="4675" w:type="dxa"/>
          </w:tcPr>
          <w:p w14:paraId="66E4BBEA" w14:textId="77777777" w:rsidR="00612E97" w:rsidRPr="00EA1593" w:rsidRDefault="00612E97" w:rsidP="0017447B">
            <w:pPr>
              <w:rPr>
                <w:rFonts w:ascii="Arial" w:hAnsi="Arial" w:cs="Arial"/>
                <w:b/>
                <w:bCs/>
                <w:sz w:val="20"/>
                <w:szCs w:val="20"/>
              </w:rPr>
            </w:pPr>
            <w:r w:rsidRPr="00EA1593">
              <w:rPr>
                <w:rFonts w:ascii="Arial" w:hAnsi="Arial" w:cs="Arial"/>
                <w:b/>
                <w:bCs/>
                <w:sz w:val="20"/>
                <w:szCs w:val="20"/>
              </w:rPr>
              <w:t>Period</w:t>
            </w:r>
          </w:p>
        </w:tc>
        <w:tc>
          <w:tcPr>
            <w:tcW w:w="4675" w:type="dxa"/>
          </w:tcPr>
          <w:p w14:paraId="7009F45E" w14:textId="77777777" w:rsidR="00612E97" w:rsidRPr="00EA1593" w:rsidRDefault="00612E97" w:rsidP="0017447B">
            <w:pPr>
              <w:keepNext/>
              <w:keepLines/>
              <w:spacing w:after="240"/>
              <w:jc w:val="both"/>
              <w:rPr>
                <w:rFonts w:ascii="Arial" w:hAnsi="Arial" w:cs="Arial"/>
                <w:b/>
                <w:bCs/>
                <w:sz w:val="20"/>
                <w:szCs w:val="20"/>
              </w:rPr>
            </w:pPr>
            <w:r w:rsidRPr="00EA1593">
              <w:rPr>
                <w:rFonts w:ascii="Arial" w:hAnsi="Arial" w:cs="Arial"/>
                <w:b/>
                <w:bCs/>
                <w:sz w:val="20"/>
                <w:szCs w:val="20"/>
              </w:rPr>
              <w:t>Report Due Date</w:t>
            </w:r>
          </w:p>
        </w:tc>
      </w:tr>
      <w:tr w:rsidR="00612E97" w:rsidRPr="00B179B9" w14:paraId="390F487C" w14:textId="77777777" w:rsidTr="0017447B">
        <w:trPr>
          <w:trHeight w:hRule="exact" w:val="288"/>
        </w:trPr>
        <w:tc>
          <w:tcPr>
            <w:tcW w:w="4675" w:type="dxa"/>
          </w:tcPr>
          <w:p w14:paraId="56AB3A8C" w14:textId="77777777" w:rsidR="00612E97" w:rsidRPr="008F69BA" w:rsidRDefault="00612E97" w:rsidP="0017447B">
            <w:pPr>
              <w:rPr>
                <w:rFonts w:ascii="Arial" w:hAnsi="Arial" w:cs="Arial"/>
                <w:sz w:val="20"/>
                <w:szCs w:val="20"/>
              </w:rPr>
            </w:pPr>
            <w:r w:rsidRPr="008F69BA">
              <w:rPr>
                <w:rFonts w:ascii="Arial" w:hAnsi="Arial" w:cs="Arial"/>
                <w:sz w:val="20"/>
                <w:szCs w:val="20"/>
              </w:rPr>
              <w:t>January 1 – March 31</w:t>
            </w:r>
          </w:p>
        </w:tc>
        <w:tc>
          <w:tcPr>
            <w:tcW w:w="4675" w:type="dxa"/>
          </w:tcPr>
          <w:p w14:paraId="01F1EC9F"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April 10</w:t>
            </w:r>
          </w:p>
        </w:tc>
      </w:tr>
      <w:tr w:rsidR="00612E97" w:rsidRPr="00B179B9" w14:paraId="11989A49" w14:textId="77777777" w:rsidTr="0017447B">
        <w:trPr>
          <w:trHeight w:hRule="exact" w:val="288"/>
        </w:trPr>
        <w:tc>
          <w:tcPr>
            <w:tcW w:w="4675" w:type="dxa"/>
          </w:tcPr>
          <w:p w14:paraId="1A5C83C9" w14:textId="77777777" w:rsidR="00612E97" w:rsidRPr="008F69BA" w:rsidRDefault="00612E97" w:rsidP="0017447B">
            <w:pPr>
              <w:rPr>
                <w:rFonts w:ascii="Arial" w:hAnsi="Arial" w:cs="Arial"/>
                <w:sz w:val="20"/>
                <w:szCs w:val="20"/>
              </w:rPr>
            </w:pPr>
            <w:r w:rsidRPr="008F69BA">
              <w:rPr>
                <w:rFonts w:ascii="Arial" w:hAnsi="Arial" w:cs="Arial"/>
                <w:sz w:val="20"/>
                <w:szCs w:val="20"/>
              </w:rPr>
              <w:t>April 1 – June 30</w:t>
            </w:r>
          </w:p>
        </w:tc>
        <w:tc>
          <w:tcPr>
            <w:tcW w:w="4675" w:type="dxa"/>
          </w:tcPr>
          <w:p w14:paraId="6A386C1E"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July 10</w:t>
            </w:r>
          </w:p>
        </w:tc>
      </w:tr>
      <w:tr w:rsidR="00612E97" w:rsidRPr="00B179B9" w14:paraId="4A31FA4C" w14:textId="77777777" w:rsidTr="0017447B">
        <w:trPr>
          <w:trHeight w:hRule="exact" w:val="288"/>
        </w:trPr>
        <w:tc>
          <w:tcPr>
            <w:tcW w:w="4675" w:type="dxa"/>
          </w:tcPr>
          <w:p w14:paraId="26639EC4" w14:textId="77777777" w:rsidR="00612E97" w:rsidRPr="008F69BA" w:rsidRDefault="00612E97" w:rsidP="0017447B">
            <w:pPr>
              <w:rPr>
                <w:rFonts w:ascii="Arial" w:hAnsi="Arial" w:cs="Arial"/>
                <w:sz w:val="20"/>
                <w:szCs w:val="20"/>
              </w:rPr>
            </w:pPr>
            <w:r w:rsidRPr="008F69BA">
              <w:rPr>
                <w:rFonts w:ascii="Arial" w:hAnsi="Arial" w:cs="Arial"/>
                <w:sz w:val="20"/>
                <w:szCs w:val="20"/>
              </w:rPr>
              <w:t>July 1 – September 30</w:t>
            </w:r>
          </w:p>
        </w:tc>
        <w:tc>
          <w:tcPr>
            <w:tcW w:w="4675" w:type="dxa"/>
          </w:tcPr>
          <w:p w14:paraId="56CE7A2D"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October 10</w:t>
            </w:r>
          </w:p>
        </w:tc>
      </w:tr>
      <w:tr w:rsidR="00612E97" w:rsidRPr="00B179B9" w14:paraId="52C3AA22" w14:textId="77777777" w:rsidTr="0017447B">
        <w:trPr>
          <w:trHeight w:hRule="exact" w:val="288"/>
        </w:trPr>
        <w:tc>
          <w:tcPr>
            <w:tcW w:w="4675" w:type="dxa"/>
          </w:tcPr>
          <w:p w14:paraId="7A5C094D" w14:textId="77777777" w:rsidR="00612E97" w:rsidRPr="008F69BA" w:rsidRDefault="00612E97" w:rsidP="0017447B">
            <w:pPr>
              <w:rPr>
                <w:rFonts w:ascii="Arial" w:hAnsi="Arial" w:cs="Arial"/>
                <w:sz w:val="20"/>
                <w:szCs w:val="20"/>
              </w:rPr>
            </w:pPr>
            <w:r w:rsidRPr="008F69BA">
              <w:rPr>
                <w:rFonts w:ascii="Arial" w:hAnsi="Arial" w:cs="Arial"/>
                <w:sz w:val="20"/>
                <w:szCs w:val="20"/>
              </w:rPr>
              <w:t>October 1 – December 31</w:t>
            </w:r>
          </w:p>
        </w:tc>
        <w:tc>
          <w:tcPr>
            <w:tcW w:w="4675" w:type="dxa"/>
          </w:tcPr>
          <w:p w14:paraId="37DDCB0E" w14:textId="77777777" w:rsidR="00612E97" w:rsidRPr="00B179B9" w:rsidRDefault="00612E97" w:rsidP="0017447B">
            <w:pPr>
              <w:keepNext/>
              <w:keepLines/>
              <w:spacing w:after="240"/>
              <w:jc w:val="both"/>
              <w:rPr>
                <w:rFonts w:ascii="Arial" w:hAnsi="Arial" w:cs="Arial"/>
                <w:bCs/>
                <w:sz w:val="20"/>
                <w:szCs w:val="20"/>
              </w:rPr>
            </w:pPr>
            <w:r w:rsidRPr="00B179B9">
              <w:rPr>
                <w:rFonts w:ascii="Arial" w:hAnsi="Arial" w:cs="Arial"/>
                <w:bCs/>
                <w:sz w:val="20"/>
                <w:szCs w:val="20"/>
              </w:rPr>
              <w:t>January 10</w:t>
            </w:r>
          </w:p>
        </w:tc>
      </w:tr>
    </w:tbl>
    <w:p w14:paraId="3762B038" w14:textId="77777777" w:rsidR="00612E97" w:rsidRDefault="00612E97" w:rsidP="00612E97">
      <w:pPr>
        <w:spacing w:after="240"/>
        <w:jc w:val="both"/>
        <w:rPr>
          <w:rFonts w:ascii="Arial" w:hAnsi="Arial" w:cs="Arial"/>
          <w:i/>
        </w:rPr>
      </w:pPr>
    </w:p>
    <w:p w14:paraId="790633B8" w14:textId="6DBA7329" w:rsidR="00612E97" w:rsidRPr="00612E97" w:rsidRDefault="00612E97" w:rsidP="00CD5DC7">
      <w:pPr>
        <w:spacing w:after="240"/>
        <w:jc w:val="both"/>
        <w:rPr>
          <w:rFonts w:ascii="Arial" w:hAnsi="Arial" w:cs="Arial"/>
          <w:i/>
        </w:rPr>
      </w:pPr>
      <w:r w:rsidRPr="00416276">
        <w:rPr>
          <w:rFonts w:ascii="Arial" w:hAnsi="Arial" w:cs="Arial"/>
          <w:i/>
        </w:rPr>
        <w:t>(Source: OGA</w:t>
      </w:r>
      <w:r w:rsidR="002822F6">
        <w:rPr>
          <w:rFonts w:ascii="Arial" w:hAnsi="Arial" w:cs="Arial"/>
          <w:i/>
        </w:rPr>
        <w:t>P</w:t>
      </w:r>
      <w:r w:rsidRPr="00416276">
        <w:rPr>
          <w:rFonts w:ascii="Arial" w:hAnsi="Arial" w:cs="Arial"/>
          <w:i/>
        </w:rPr>
        <w:t>P Manu</w:t>
      </w:r>
      <w:r w:rsidRPr="00D87D35">
        <w:rPr>
          <w:rFonts w:ascii="Arial" w:hAnsi="Arial" w:cs="Arial"/>
          <w:i/>
        </w:rPr>
        <w:t>al</w:t>
      </w:r>
      <w:r>
        <w:rPr>
          <w:rFonts w:ascii="Arial" w:hAnsi="Arial" w:cs="Arial"/>
          <w:i/>
        </w:rPr>
        <w:t xml:space="preserve">, Updated December </w:t>
      </w:r>
      <w:r w:rsidR="00DE35D6" w:rsidRPr="002F03F5">
        <w:rPr>
          <w:rFonts w:ascii="Arial" w:hAnsi="Arial" w:cs="Arial"/>
          <w:i/>
        </w:rPr>
        <w:t>2017 and Amadou Diallo,</w:t>
      </w:r>
      <w:r w:rsidR="00DE35D6">
        <w:rPr>
          <w:rFonts w:ascii="Arial" w:hAnsi="Arial" w:cs="Arial"/>
          <w:i/>
        </w:rPr>
        <w:t xml:space="preserve"> </w:t>
      </w:r>
      <w:r w:rsidR="00DE35D6" w:rsidRPr="002F03F5">
        <w:rPr>
          <w:rFonts w:ascii="Arial" w:hAnsi="Arial" w:cs="Arial"/>
          <w:i/>
        </w:rPr>
        <w:t>Chief Fiscal Officer</w:t>
      </w:r>
      <w:r w:rsidR="00DE35D6">
        <w:rPr>
          <w:rFonts w:ascii="Arial" w:hAnsi="Arial" w:cs="Arial"/>
          <w:i/>
        </w:rPr>
        <w:t xml:space="preserve">, Ohio Department of Health </w:t>
      </w:r>
      <w:r w:rsidR="00DE35D6" w:rsidRPr="002F03F5">
        <w:rPr>
          <w:rFonts w:ascii="Arial" w:hAnsi="Arial" w:cs="Arial"/>
          <w:i/>
        </w:rPr>
        <w:t>Office of Financial Affairs</w:t>
      </w:r>
      <w:r>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8" w:name="_Toc442267692"/>
      <w:bookmarkStart w:id="59" w:name="_Toc18860607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8"/>
      <w:bookmarkEnd w:id="59"/>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7CFA1695"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8"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C96EF3">
      <w:pPr>
        <w:pStyle w:val="ListParagraph"/>
        <w:numPr>
          <w:ilvl w:val="0"/>
          <w:numId w:val="26"/>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C96EF3">
      <w:pPr>
        <w:pStyle w:val="AuditProcedureHeading"/>
        <w:numPr>
          <w:ilvl w:val="0"/>
          <w:numId w:val="26"/>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C96EF3">
      <w:pPr>
        <w:pStyle w:val="ListParagraph"/>
        <w:numPr>
          <w:ilvl w:val="2"/>
          <w:numId w:val="26"/>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C96EF3">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C96EF3">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C96EF3">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C96EF3">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60" w:name="_Toc442267693"/>
      <w:bookmarkStart w:id="61" w:name="_Toc188606075"/>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60"/>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63D1C89" w:rsidR="000628BC" w:rsidRPr="006516C2" w:rsidRDefault="00D96E56" w:rsidP="00C96EF3">
            <w:pPr>
              <w:pStyle w:val="ListParagraph"/>
              <w:numPr>
                <w:ilvl w:val="0"/>
                <w:numId w:val="40"/>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9"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2" w:name="_Toc438816465"/>
      <w:bookmarkStart w:id="63" w:name="_Toc442267694"/>
    </w:p>
    <w:p w14:paraId="5F477BA8" w14:textId="40F9D9C2" w:rsidR="00FF7307" w:rsidRPr="00220BD0" w:rsidRDefault="002A3BB7" w:rsidP="006672EA">
      <w:pPr>
        <w:pStyle w:val="Heading3"/>
        <w:jc w:val="both"/>
        <w:rPr>
          <w:rFonts w:cs="Arial"/>
          <w:b w:val="0"/>
          <w:sz w:val="24"/>
          <w:szCs w:val="24"/>
        </w:rPr>
      </w:pPr>
      <w:bookmarkStart w:id="64" w:name="_Toc188606076"/>
      <w:r w:rsidRPr="00220BD0">
        <w:rPr>
          <w:rFonts w:cs="Arial"/>
          <w:sz w:val="24"/>
          <w:szCs w:val="24"/>
        </w:rPr>
        <w:t>Audit Implications Summary</w:t>
      </w:r>
      <w:bookmarkEnd w:id="62"/>
      <w:bookmarkEnd w:id="63"/>
      <w:bookmarkEnd w:id="64"/>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B79797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C96EF3">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C96EF3">
            <w:pPr>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C96EF3">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C96EF3">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C96EF3">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1"/>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5" w:name="_Toc188606077"/>
      <w:r w:rsidRPr="00220BD0">
        <w:rPr>
          <w:rFonts w:cs="Arial"/>
          <w:sz w:val="24"/>
        </w:rPr>
        <w:lastRenderedPageBreak/>
        <w:t xml:space="preserve">E.  </w:t>
      </w:r>
      <w:bookmarkStart w:id="66" w:name="_Toc442267695"/>
      <w:r w:rsidRPr="00220BD0">
        <w:rPr>
          <w:rFonts w:cs="Arial"/>
          <w:sz w:val="24"/>
        </w:rPr>
        <w:t>ELIGIBILITY</w:t>
      </w:r>
      <w:bookmarkEnd w:id="66"/>
      <w:bookmarkEnd w:id="65"/>
    </w:p>
    <w:p w14:paraId="5DAB0DE7" w14:textId="77777777" w:rsidR="007E5B12" w:rsidRPr="00220BD0" w:rsidRDefault="004655E0" w:rsidP="006672EA">
      <w:pPr>
        <w:pStyle w:val="Heading3"/>
        <w:jc w:val="both"/>
        <w:rPr>
          <w:rFonts w:cs="Arial"/>
          <w:sz w:val="24"/>
          <w:szCs w:val="24"/>
        </w:rPr>
      </w:pPr>
      <w:bookmarkStart w:id="67" w:name="_Toc188606078"/>
      <w:r w:rsidRPr="00220BD0">
        <w:rPr>
          <w:rFonts w:cs="Arial"/>
          <w:sz w:val="24"/>
          <w:szCs w:val="24"/>
        </w:rPr>
        <w:t xml:space="preserve">OMB </w:t>
      </w:r>
      <w:r w:rsidR="007E5B12" w:rsidRPr="00220BD0">
        <w:rPr>
          <w:rFonts w:cs="Arial"/>
          <w:sz w:val="24"/>
          <w:szCs w:val="24"/>
        </w:rPr>
        <w:t>Compliance Requirements</w:t>
      </w:r>
      <w:bookmarkEnd w:id="67"/>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1B50B08" w14:textId="62C978E7" w:rsidR="00681DA8" w:rsidRPr="00681DA8" w:rsidRDefault="00681DA8" w:rsidP="00681DA8">
      <w:pPr>
        <w:pStyle w:val="ListParagraph"/>
        <w:numPr>
          <w:ilvl w:val="0"/>
          <w:numId w:val="75"/>
        </w:numPr>
        <w:tabs>
          <w:tab w:val="right" w:leader="dot" w:pos="9360"/>
        </w:tabs>
        <w:spacing w:after="240"/>
        <w:jc w:val="both"/>
        <w:rPr>
          <w:rFonts w:ascii="Arial" w:hAnsi="Arial" w:cs="Arial"/>
          <w:b/>
          <w:iCs/>
        </w:rPr>
      </w:pPr>
      <w:r w:rsidRPr="00681DA8">
        <w:rPr>
          <w:rFonts w:ascii="Arial" w:hAnsi="Arial" w:cs="Arial"/>
          <w:b/>
          <w:iCs/>
        </w:rPr>
        <w:t>Eligibility for Individuals</w:t>
      </w:r>
    </w:p>
    <w:p w14:paraId="33FE18DF" w14:textId="617AFC4B" w:rsidR="00681DA8" w:rsidRPr="00681DA8" w:rsidRDefault="00681DA8" w:rsidP="00681DA8">
      <w:pPr>
        <w:tabs>
          <w:tab w:val="right" w:leader="dot" w:pos="9360"/>
        </w:tabs>
        <w:spacing w:after="240"/>
        <w:ind w:left="360"/>
        <w:jc w:val="both"/>
        <w:rPr>
          <w:rFonts w:ascii="Arial" w:hAnsi="Arial" w:cs="Arial"/>
          <w:bCs/>
          <w:iCs/>
        </w:rPr>
      </w:pPr>
      <w:r w:rsidRPr="00681DA8">
        <w:rPr>
          <w:rFonts w:ascii="Arial" w:hAnsi="Arial" w:cs="Arial"/>
          <w:bCs/>
          <w:iCs/>
        </w:rPr>
        <w:t>Applicants for WIC program benefits are screened at WIC clinic sites to determine their WIC eligibility. To be certified eligible, they must meet the following eligibility criteria (7 CFR sections 246.7(c), (d), (e), (g), and (l)):</w:t>
      </w:r>
    </w:p>
    <w:p w14:paraId="2BAEC479" w14:textId="0BB4F35A" w:rsidR="00681DA8" w:rsidRPr="00681DA8" w:rsidRDefault="00681DA8" w:rsidP="00681DA8">
      <w:pPr>
        <w:pStyle w:val="ListParagraph"/>
        <w:numPr>
          <w:ilvl w:val="0"/>
          <w:numId w:val="76"/>
        </w:numPr>
        <w:tabs>
          <w:tab w:val="right" w:leader="dot" w:pos="9360"/>
        </w:tabs>
        <w:spacing w:after="240"/>
        <w:jc w:val="both"/>
        <w:rPr>
          <w:rFonts w:ascii="Arial" w:hAnsi="Arial" w:cs="Arial"/>
          <w:bCs/>
          <w:iCs/>
        </w:rPr>
      </w:pPr>
      <w:r w:rsidRPr="00681DA8">
        <w:rPr>
          <w:rFonts w:ascii="Arial" w:hAnsi="Arial" w:cs="Arial"/>
          <w:bCs/>
          <w:i/>
        </w:rPr>
        <w:t>Categorical</w:t>
      </w:r>
      <w:r w:rsidRPr="00681DA8">
        <w:rPr>
          <w:rFonts w:ascii="Arial" w:hAnsi="Arial" w:cs="Arial"/>
          <w:bCs/>
          <w:iCs/>
        </w:rPr>
        <w:t xml:space="preserve"> – Eligibility is restricted to pregnant, postpartum, and breastfeeding women, infants, and children up to their fifth birthday (7 CFR sections 246.2 (definition of each category) and 246.7(c)).</w:t>
      </w:r>
    </w:p>
    <w:p w14:paraId="44D305A5" w14:textId="0844D9C3" w:rsidR="00681DA8" w:rsidRPr="00681DA8" w:rsidRDefault="00681DA8" w:rsidP="00681DA8">
      <w:pPr>
        <w:pStyle w:val="ListParagraph"/>
        <w:numPr>
          <w:ilvl w:val="0"/>
          <w:numId w:val="76"/>
        </w:numPr>
        <w:tabs>
          <w:tab w:val="right" w:leader="dot" w:pos="9360"/>
        </w:tabs>
        <w:spacing w:after="240"/>
        <w:jc w:val="both"/>
        <w:rPr>
          <w:rFonts w:ascii="Arial" w:hAnsi="Arial" w:cs="Arial"/>
          <w:bCs/>
          <w:iCs/>
        </w:rPr>
      </w:pPr>
      <w:r w:rsidRPr="00681DA8">
        <w:rPr>
          <w:rFonts w:ascii="Arial" w:hAnsi="Arial" w:cs="Arial"/>
          <w:bCs/>
          <w:i/>
        </w:rPr>
        <w:t>Identity and Residency</w:t>
      </w:r>
      <w:r w:rsidRPr="00681DA8">
        <w:rPr>
          <w:rFonts w:ascii="Arial" w:hAnsi="Arial" w:cs="Arial"/>
          <w:bCs/>
          <w:iCs/>
        </w:rPr>
        <w:t xml:space="preserve"> – Except in limited circumstances, WIC applicants must be physically present for eligibility screenings and provide proof of identity and residency. An applicant also must meet the state agency’s residency requirement. Except in the case of ITOs, the applicant must reside in the jurisdiction of the state. ITOs may require applicants to reside within their jurisdiction. All state agencies may designate service areas for any local agency and may require that applicants reside within the service area. A state agency must establish procedures, in accordance with guidance from FNS, to prevent the same individual from receiving duplicate benefits through participation at more than one local agency. Documentation of these determinations may consist of descriptions of documents evidencing the applicants’ identities and residency (e.g., notations in the participant’s file identifying specific documents that local agency staff have viewed and found acceptable), copies of the documents themselves, and/or the applicants’ written statements of identity and residency when no other documentation exists. Certification procedures prescribed by the state agency set conditions for relying on these different forms of documentation (42 USC 1786(f)(23); 7 CFR sections 246.7(c)(1) and (c)(2)(i) and 246.7(i)(3) and (4)).</w:t>
      </w:r>
    </w:p>
    <w:p w14:paraId="1A1D28AD" w14:textId="2D5FDA7F" w:rsidR="00681DA8" w:rsidRPr="00681DA8" w:rsidRDefault="00681DA8" w:rsidP="00681DA8">
      <w:pPr>
        <w:pStyle w:val="ListParagraph"/>
        <w:numPr>
          <w:ilvl w:val="0"/>
          <w:numId w:val="76"/>
        </w:numPr>
        <w:tabs>
          <w:tab w:val="right" w:leader="dot" w:pos="9360"/>
        </w:tabs>
        <w:spacing w:after="240"/>
        <w:jc w:val="both"/>
        <w:rPr>
          <w:rFonts w:ascii="Arial" w:hAnsi="Arial" w:cs="Arial"/>
          <w:bCs/>
          <w:iCs/>
        </w:rPr>
      </w:pPr>
      <w:r w:rsidRPr="00681DA8">
        <w:rPr>
          <w:rFonts w:ascii="Arial" w:hAnsi="Arial" w:cs="Arial"/>
          <w:bCs/>
          <w:i/>
        </w:rPr>
        <w:t>Income</w:t>
      </w:r>
      <w:r w:rsidRPr="00681DA8">
        <w:rPr>
          <w:rFonts w:ascii="Arial" w:hAnsi="Arial" w:cs="Arial"/>
          <w:bCs/>
          <w:iCs/>
        </w:rPr>
        <w:t xml:space="preserve"> – An applicant must meet an income standard established by the state agency or be determined to be automatically (adjunctively) income- eligible based on documentation of his/her eligibility, or certain family members’ eligibility, for the following federal programs: (1) Temporary Assistance for Needy Families; (2) Medicaid; or (3) Supplemental Nutrition Assistance Program (formerly the Food Stamp Program). State agencies also may determine an individual automatically income-eligible based on documentation of his/her eligibility for certain state- administered programs. Documentation of income eligibility determinations may consist of descriptions of documents evidencing the sources and gross amounts of all income, such as wages, disability or Social Security/SSI payments, child support, alimony, etc., received by applicants and/or any members of their households (e.g., notations in the participant’s file identifying specific documents </w:t>
      </w:r>
      <w:r w:rsidRPr="00681DA8">
        <w:rPr>
          <w:rFonts w:ascii="Arial" w:hAnsi="Arial" w:cs="Arial"/>
          <w:bCs/>
          <w:iCs/>
        </w:rPr>
        <w:lastRenderedPageBreak/>
        <w:t>that local agency staff have viewed and found acceptable), copies of the documents themselves, and/or the applicant’s signed affidavit that his/her household income does not exceed the current WIC income eligibility guidelines when no other documentation exists. With limited exceptions, applicants who are not adjunctively or automatically income-eligible for WIC must provide documentation of family income at their initial or subsequent certification (42 USC 1786(d)(3)(D); 7 CFR sections 246.2 (definition of “family”), 246.7(c), and 246.7(d)).</w:t>
      </w:r>
    </w:p>
    <w:p w14:paraId="7DF199CA" w14:textId="0D2D3090"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
        </w:rPr>
        <w:t>Income Guidelines</w:t>
      </w:r>
      <w:r w:rsidRPr="00681DA8">
        <w:rPr>
          <w:rFonts w:ascii="Arial" w:hAnsi="Arial" w:cs="Arial"/>
          <w:bCs/>
          <w:iCs/>
        </w:rPr>
        <w:t xml:space="preserve"> – The income standard established by the state agency may be up to 185 percent of the poverty income guidelines issued annually by HHS or state or local income guidelines used for free and reduced- price health care. However, in using health care guidelines, the income guidelines for WIC must be between 100 and 185 percent of the poverty income guidelines. These WIC income guidelines are issued each year in the Federal Register and are available on FNS’s WIC website at </w:t>
      </w:r>
      <w:hyperlink r:id="rId62" w:history="1">
        <w:r w:rsidRPr="00AE7B99">
          <w:rPr>
            <w:rStyle w:val="Hyperlink"/>
            <w:rFonts w:cs="Arial"/>
            <w:bCs/>
            <w:iCs/>
          </w:rPr>
          <w:t>http://www.fns.usda.gov/wic</w:t>
        </w:r>
      </w:hyperlink>
      <w:r w:rsidRPr="00681DA8">
        <w:rPr>
          <w:rFonts w:ascii="Arial" w:hAnsi="Arial" w:cs="Arial"/>
          <w:bCs/>
          <w:iCs/>
        </w:rPr>
        <w:t>. Local agency income guidelines may vary as long as they are based on the guidelines used for free and reduced-price health care (7 CFR section 246.7(d)(1)). Income determinations based on state or local health care guidelines are subject to the definition of “family” in 7 CFR section 246.2, the definition of “income” in 7 CFR</w:t>
      </w:r>
      <w:r>
        <w:rPr>
          <w:rFonts w:ascii="Arial" w:hAnsi="Arial" w:cs="Arial"/>
          <w:bCs/>
          <w:iCs/>
        </w:rPr>
        <w:t xml:space="preserve"> </w:t>
      </w:r>
      <w:r w:rsidRPr="00681DA8">
        <w:rPr>
          <w:rFonts w:ascii="Arial" w:hAnsi="Arial" w:cs="Arial"/>
          <w:bCs/>
          <w:iCs/>
        </w:rPr>
        <w:t>section 246.7(d)(2)(ii), and the exclusions from income in 7 CFR section 246.7(d)(2)(iv) (7 CFR sections 246.2 and 246.7(d)(2)).</w:t>
      </w:r>
    </w:p>
    <w:p w14:paraId="4D0D4642" w14:textId="28AFD472"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
        </w:rPr>
        <w:t>Income Eligibility Determination</w:t>
      </w:r>
      <w:r w:rsidRPr="00681DA8">
        <w:rPr>
          <w:rFonts w:ascii="Arial" w:hAnsi="Arial" w:cs="Arial"/>
          <w:bCs/>
          <w:iCs/>
        </w:rPr>
        <w:t xml:space="preserve"> – Except for applicants determined to be automatically income-eligible, income is based on gross income and other cash readily available to the family or economic unit. Certain federal payments and benefits, listed at 7 CFR section 246.7(d)(2)(iv), are excluded from the computation of income. The following payments to members of the Armed Forces and their families also are excluded: Family Subsistence Supplemental Allowance (7 CFR section 246.7(d)(2)(iv)(D)(33)); combat pay included under Chapter V of Title 37 (42 USC 1758(b)), as amended by Section 734(b) of Pub. L. No. 111-80.</w:t>
      </w:r>
    </w:p>
    <w:p w14:paraId="579CADD9" w14:textId="21FCE292"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Cs/>
        </w:rPr>
        <w:t>Payments to Filipino veterans under the Filipino Veterans Equity Compensation Fund (section 1002 of American Recovery and Reinvestment Act (ARRA), 123 Stat. 200) are also excluded. In addition, the state agency may exclude:</w:t>
      </w:r>
    </w:p>
    <w:p w14:paraId="413E1D0B" w14:textId="4763BA98" w:rsidR="00681DA8" w:rsidRPr="00681DA8" w:rsidRDefault="00681DA8" w:rsidP="00681DA8">
      <w:pPr>
        <w:pStyle w:val="ListParagraph"/>
        <w:numPr>
          <w:ilvl w:val="0"/>
          <w:numId w:val="77"/>
        </w:numPr>
        <w:tabs>
          <w:tab w:val="right" w:leader="dot" w:pos="9360"/>
        </w:tabs>
        <w:spacing w:after="240"/>
        <w:jc w:val="both"/>
        <w:rPr>
          <w:rFonts w:ascii="Arial" w:hAnsi="Arial" w:cs="Arial"/>
          <w:bCs/>
          <w:iCs/>
        </w:rPr>
      </w:pPr>
      <w:r w:rsidRPr="00681DA8">
        <w:rPr>
          <w:rFonts w:ascii="Arial" w:hAnsi="Arial" w:cs="Arial"/>
          <w:bCs/>
          <w:iCs/>
        </w:rPr>
        <w:t>Housing allowances received by military services personnel residing off military installations or in privatized housing, whether on or off-base (7 CFR section 246.7(d)(2)(iv)(A)(1)); and</w:t>
      </w:r>
    </w:p>
    <w:p w14:paraId="4C4844A2" w14:textId="41C2E24D" w:rsidR="00681DA8" w:rsidRPr="00681DA8" w:rsidRDefault="00681DA8" w:rsidP="00681DA8">
      <w:pPr>
        <w:pStyle w:val="ListParagraph"/>
        <w:numPr>
          <w:ilvl w:val="0"/>
          <w:numId w:val="77"/>
        </w:numPr>
        <w:tabs>
          <w:tab w:val="right" w:leader="dot" w:pos="9360"/>
        </w:tabs>
        <w:spacing w:after="240"/>
        <w:jc w:val="both"/>
        <w:rPr>
          <w:rFonts w:ascii="Arial" w:hAnsi="Arial" w:cs="Arial"/>
          <w:bCs/>
          <w:iCs/>
        </w:rPr>
      </w:pPr>
      <w:r w:rsidRPr="00681DA8">
        <w:rPr>
          <w:rFonts w:ascii="Arial" w:hAnsi="Arial" w:cs="Arial"/>
          <w:bCs/>
          <w:iCs/>
        </w:rPr>
        <w:t>Any cost-of-living allowance provided to military personnel who are on duty outside the contiguous states of the United States (7 CFR section 246.7(d)(2)(iv)(A)(2)).</w:t>
      </w:r>
    </w:p>
    <w:p w14:paraId="74F6803D" w14:textId="25DB4715"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Cs/>
        </w:rPr>
        <w:t>At a minimum, in-stream (away from home base) migrant farm workers and their families with expired Verification of Certification cards shall meet the state agency’s income standard provided that the income of the family is determined at least once every 12 months (7 CFR section 246.7(d)(2)(ix)).</w:t>
      </w:r>
    </w:p>
    <w:p w14:paraId="0AD9545F" w14:textId="0731DA50"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Cs/>
        </w:rPr>
        <w:t>An ITO state agency, or a state agency acting on behalf of an ITO, may submit reliable data that proves to FNS that the majority of Indian households in a local agency service area have incomes at or below the state agency’s income guidelines. In such cases, FNS may authorize the state agency to permit the use of an abbreviated income screening process whereby an applicant affirms, in writing, that his/her family income is within the state agency’s prescribed guidelines (7 CFR section 246.7(d)(2)(viii)).</w:t>
      </w:r>
    </w:p>
    <w:p w14:paraId="245FF477" w14:textId="7AFB0B3E" w:rsidR="00681DA8" w:rsidRPr="00681DA8" w:rsidRDefault="00681DA8" w:rsidP="00681DA8">
      <w:pPr>
        <w:tabs>
          <w:tab w:val="right" w:leader="dot" w:pos="9360"/>
        </w:tabs>
        <w:spacing w:after="240"/>
        <w:ind w:left="720"/>
        <w:jc w:val="both"/>
        <w:rPr>
          <w:rFonts w:ascii="Arial" w:hAnsi="Arial" w:cs="Arial"/>
          <w:bCs/>
          <w:iCs/>
        </w:rPr>
      </w:pPr>
      <w:r w:rsidRPr="00681DA8">
        <w:rPr>
          <w:rFonts w:ascii="Arial" w:hAnsi="Arial" w:cs="Arial"/>
          <w:bCs/>
          <w:iCs/>
        </w:rPr>
        <w:t>State agencies may instruct local agencies to consider family income over the preceding 12 months or the family’s current rate of income, whichever indicator more accurately reflects the family’s income status. To provide more consistency and accountability, WIC has encouraged state agencies to define a family’s current rate of income as all income received by the household during the month (30 days) prior to the date the application for</w:t>
      </w:r>
      <w:r>
        <w:rPr>
          <w:rFonts w:ascii="Arial" w:hAnsi="Arial" w:cs="Arial"/>
          <w:bCs/>
          <w:iCs/>
        </w:rPr>
        <w:t xml:space="preserve"> </w:t>
      </w:r>
      <w:r w:rsidRPr="00681DA8">
        <w:rPr>
          <w:rFonts w:ascii="Arial" w:hAnsi="Arial" w:cs="Arial"/>
          <w:bCs/>
          <w:iCs/>
        </w:rPr>
        <w:t xml:space="preserve">WIC benefits is made, or, if the income assessment is being done prospectively, all income that will be available to the family in the next 30 days (see WIC Policy Memorandum No. 2013-3, Income Eligibility Guidance, issued April 26, </w:t>
      </w:r>
      <w:r w:rsidRPr="00681DA8">
        <w:rPr>
          <w:rFonts w:ascii="Arial" w:hAnsi="Arial" w:cs="Arial"/>
          <w:bCs/>
          <w:iCs/>
        </w:rPr>
        <w:lastRenderedPageBreak/>
        <w:t xml:space="preserve">2013, which is available at </w:t>
      </w:r>
      <w:hyperlink r:id="rId63" w:history="1">
        <w:r w:rsidRPr="00AE7B99">
          <w:rPr>
            <w:rStyle w:val="Hyperlink"/>
            <w:rFonts w:cs="Arial"/>
            <w:bCs/>
            <w:iCs/>
          </w:rPr>
          <w:t>https://www.fns.usda.gov/wic/income-eligibility-guidance</w:t>
        </w:r>
      </w:hyperlink>
      <w:r w:rsidRPr="00681DA8">
        <w:rPr>
          <w:rFonts w:ascii="Arial" w:hAnsi="Arial" w:cs="Arial"/>
          <w:bCs/>
          <w:iCs/>
        </w:rPr>
        <w:t xml:space="preserve"> (7 CFR sections 246.7(d)(2)(i) and (v)).</w:t>
      </w:r>
    </w:p>
    <w:p w14:paraId="72DDEB69" w14:textId="24E38017" w:rsidR="00681DA8" w:rsidRPr="00681DA8" w:rsidRDefault="00681DA8" w:rsidP="00681DA8">
      <w:pPr>
        <w:pStyle w:val="ListParagraph"/>
        <w:numPr>
          <w:ilvl w:val="0"/>
          <w:numId w:val="76"/>
        </w:numPr>
        <w:tabs>
          <w:tab w:val="right" w:leader="dot" w:pos="9360"/>
        </w:tabs>
        <w:spacing w:after="240"/>
        <w:jc w:val="both"/>
        <w:rPr>
          <w:rFonts w:ascii="Arial" w:hAnsi="Arial" w:cs="Arial"/>
          <w:bCs/>
          <w:iCs/>
        </w:rPr>
      </w:pPr>
      <w:r w:rsidRPr="00681DA8">
        <w:rPr>
          <w:rFonts w:ascii="Arial" w:hAnsi="Arial" w:cs="Arial"/>
          <w:bCs/>
          <w:i/>
        </w:rPr>
        <w:t>Nutritional Risk</w:t>
      </w:r>
      <w:r w:rsidRPr="00681DA8">
        <w:rPr>
          <w:rFonts w:ascii="Arial" w:hAnsi="Arial" w:cs="Arial"/>
          <w:bCs/>
          <w:iCs/>
        </w:rPr>
        <w:t xml:space="preserve"> – A competent professional authority (e.g., physician, nutritionist, registered nurse, or other health professional) must determine that the applicant is at nutritional risk. While the broad guidelines for determining nutritional risk are set forth in WIC legislation and regulations, the specific allowable nutritional risk criteria are defined in WIC policy guidance, which is updated periodically. Each state agency may choose which allowable nutritional risk criteria will be used to determine eligibility. At a minimum, the certifying agency must perform and/or document measurements of each applicant’s height or length and weight. In addition, a hematological test for anemia must be performed or documented at certification if the applicant has no nutritional risk factor prescribed by the state agency other than anemia. Certified applicants with qualifying nutritional risk factors other than anemia must also be tested for anemia within 90 days of the date of certification. Program regulations set several exceptions to these general rules. The determination of nutritional risk may be based on current referral data provided by a competent professional authority who is not on the WIC staff (7 CFR sections 246.2 (definitions of “competent professional authority” and “nutritional risk”) and 246.7(e)).</w:t>
      </w:r>
    </w:p>
    <w:p w14:paraId="12AAE877" w14:textId="29FE425E" w:rsidR="00681DA8" w:rsidRPr="00681DA8" w:rsidRDefault="00681DA8" w:rsidP="00681DA8">
      <w:pPr>
        <w:tabs>
          <w:tab w:val="right" w:leader="dot" w:pos="9360"/>
        </w:tabs>
        <w:spacing w:after="240"/>
        <w:ind w:left="360"/>
        <w:jc w:val="both"/>
        <w:rPr>
          <w:rFonts w:ascii="Arial" w:hAnsi="Arial" w:cs="Arial"/>
          <w:bCs/>
          <w:iCs/>
        </w:rPr>
      </w:pPr>
      <w:r w:rsidRPr="00681DA8">
        <w:rPr>
          <w:rFonts w:ascii="Arial" w:hAnsi="Arial" w:cs="Arial"/>
          <w:bCs/>
          <w:iCs/>
        </w:rPr>
        <w:t>When an applicant meets all eligibility criteria, he/she is determined by WIC clinic staff to be eligible for program benefits. Certification periods are assigned to each participant based on categorical status for women, infants, and children (7 CFR section 246.7(g)).</w:t>
      </w:r>
    </w:p>
    <w:p w14:paraId="6DB900F6" w14:textId="40FFF7B6" w:rsidR="00681DA8" w:rsidRPr="00681DA8" w:rsidRDefault="00681DA8" w:rsidP="00681DA8">
      <w:pPr>
        <w:tabs>
          <w:tab w:val="right" w:leader="dot" w:pos="9360"/>
        </w:tabs>
        <w:spacing w:after="240"/>
        <w:ind w:left="360"/>
        <w:jc w:val="both"/>
        <w:rPr>
          <w:rFonts w:ascii="Arial" w:hAnsi="Arial" w:cs="Arial"/>
          <w:bCs/>
          <w:iCs/>
        </w:rPr>
      </w:pPr>
      <w:r w:rsidRPr="00681DA8">
        <w:rPr>
          <w:rFonts w:ascii="Arial" w:hAnsi="Arial" w:cs="Arial"/>
          <w:bCs/>
          <w:iCs/>
        </w:rPr>
        <w:t>A WIC local agency assigns each eligible person a priority classification according to the classification system described in 7 CFR section 246.7(e)(4). A person’s priority assignment reflects the severity of his/her nutritional risk. If the local agency cannot immediately place the person on the program for lack of an available caseload slot, the person is placed on a waiting list. Caseload vacancies are filled from the waiting list in priority classification order. State agencies are expected to target program outreach and caseload management efforts toward persons at greatest nutritional risk (i.e., those in the highest priority classifications).</w:t>
      </w:r>
    </w:p>
    <w:p w14:paraId="788291F5" w14:textId="7E3B4D63" w:rsidR="00681DA8" w:rsidRPr="00681DA8" w:rsidRDefault="00681DA8" w:rsidP="00681DA8">
      <w:pPr>
        <w:tabs>
          <w:tab w:val="right" w:leader="dot" w:pos="9360"/>
        </w:tabs>
        <w:spacing w:after="240"/>
        <w:ind w:left="360"/>
        <w:jc w:val="both"/>
        <w:rPr>
          <w:rFonts w:ascii="Arial" w:hAnsi="Arial" w:cs="Arial"/>
          <w:bCs/>
          <w:iCs/>
        </w:rPr>
      </w:pPr>
      <w:r w:rsidRPr="00681DA8">
        <w:rPr>
          <w:rFonts w:ascii="Arial" w:hAnsi="Arial" w:cs="Arial"/>
          <w:bCs/>
          <w:iCs/>
        </w:rPr>
        <w:t>Pregnant women are certified for the duration of their pregnancy and for up to six weeks postpartum. Breastfeeding women may be certified approximately every six months, or up to one year postpartum or until the woman ceases breastfeeding, whichever occurs first (7 CFR section 246.7(g)(1)). Infants are certified at intervals of approximately six months,</w:t>
      </w:r>
      <w:r>
        <w:rPr>
          <w:rFonts w:ascii="Arial" w:hAnsi="Arial" w:cs="Arial"/>
          <w:bCs/>
          <w:iCs/>
        </w:rPr>
        <w:t xml:space="preserve"> </w:t>
      </w:r>
      <w:r w:rsidRPr="00681DA8">
        <w:rPr>
          <w:rFonts w:ascii="Arial" w:hAnsi="Arial" w:cs="Arial"/>
          <w:bCs/>
          <w:iCs/>
        </w:rPr>
        <w:t>except that infants under six months of age may be certified for a period extending up to the child’s first birthday, provided the quality and accessibility of health care services are not diminished. Children are certified for six-month intervals ending with the last day of the month in which the child reaches the fifth birthday. State agencies also have the option to certify children for a period of one year if the state agency ensures that the child receives the required health and nutrition assessments (7 CFR section 246.7(g)(1)). Non-breastfeeding women are certified for up to six months postpartum. All categories of participants may be certified up to the last day of the last month of the certification period (7 CFR section 246.7(g)(1)).</w:t>
      </w:r>
    </w:p>
    <w:p w14:paraId="49D17D96" w14:textId="7D3080EC" w:rsidR="00681DA8" w:rsidRPr="00681DA8" w:rsidRDefault="00681DA8" w:rsidP="00681DA8">
      <w:pPr>
        <w:pStyle w:val="ListParagraph"/>
        <w:numPr>
          <w:ilvl w:val="0"/>
          <w:numId w:val="75"/>
        </w:numPr>
        <w:tabs>
          <w:tab w:val="right" w:leader="dot" w:pos="9360"/>
        </w:tabs>
        <w:spacing w:after="240"/>
        <w:jc w:val="both"/>
        <w:rPr>
          <w:rFonts w:ascii="Arial" w:hAnsi="Arial" w:cs="Arial"/>
          <w:bCs/>
          <w:iCs/>
        </w:rPr>
      </w:pPr>
      <w:r w:rsidRPr="00681DA8">
        <w:rPr>
          <w:rFonts w:ascii="Arial" w:hAnsi="Arial" w:cs="Arial"/>
          <w:b/>
          <w:iCs/>
        </w:rPr>
        <w:t xml:space="preserve">Eligibility for Group of Individuals or Area of Service Delivery </w:t>
      </w:r>
      <w:r>
        <w:rPr>
          <w:rFonts w:ascii="Arial" w:hAnsi="Arial" w:cs="Arial"/>
          <w:b/>
          <w:iCs/>
        </w:rPr>
        <w:t>–</w:t>
      </w:r>
      <w:r w:rsidRPr="00681DA8">
        <w:rPr>
          <w:rFonts w:ascii="Arial" w:hAnsi="Arial" w:cs="Arial"/>
          <w:bCs/>
          <w:iCs/>
        </w:rPr>
        <w:t xml:space="preserve"> Not Applicable</w:t>
      </w:r>
    </w:p>
    <w:p w14:paraId="1653A141" w14:textId="0E58F6F6" w:rsidR="00681DA8" w:rsidRPr="00CD6938" w:rsidRDefault="00681DA8" w:rsidP="007A73E0">
      <w:pPr>
        <w:pStyle w:val="ListParagraph"/>
        <w:numPr>
          <w:ilvl w:val="0"/>
          <w:numId w:val="75"/>
        </w:numPr>
        <w:tabs>
          <w:tab w:val="right" w:leader="dot" w:pos="9360"/>
        </w:tabs>
        <w:spacing w:after="240"/>
        <w:jc w:val="both"/>
        <w:rPr>
          <w:rFonts w:ascii="Arial" w:hAnsi="Arial" w:cs="Arial"/>
          <w:bCs/>
          <w:iCs/>
        </w:rPr>
      </w:pPr>
      <w:r w:rsidRPr="00681DA8">
        <w:rPr>
          <w:rFonts w:ascii="Arial" w:hAnsi="Arial" w:cs="Arial"/>
          <w:b/>
          <w:iCs/>
        </w:rPr>
        <w:t>Eligibility for Subrecipients</w:t>
      </w:r>
      <w:r>
        <w:rPr>
          <w:rFonts w:ascii="Arial" w:hAnsi="Arial" w:cs="Arial"/>
          <w:b/>
          <w:iCs/>
        </w:rPr>
        <w:t xml:space="preserve"> – </w:t>
      </w:r>
      <w:r>
        <w:rPr>
          <w:rFonts w:ascii="Arial" w:hAnsi="Arial" w:cs="Arial"/>
          <w:bCs/>
          <w:i/>
          <w:color w:val="002060"/>
        </w:rPr>
        <w:t>Not Applicable at Local Level</w:t>
      </w:r>
    </w:p>
    <w:p w14:paraId="569485B7" w14:textId="56B03D9A" w:rsidR="00CD6938" w:rsidRPr="00CD6938" w:rsidRDefault="00CD6938" w:rsidP="00CD6938">
      <w:pPr>
        <w:pStyle w:val="ListParagraph"/>
        <w:tabs>
          <w:tab w:val="right" w:leader="dot" w:pos="9360"/>
        </w:tabs>
        <w:spacing w:after="240"/>
        <w:ind w:left="360"/>
        <w:jc w:val="both"/>
        <w:rPr>
          <w:rFonts w:ascii="Arial" w:hAnsi="Arial" w:cs="Arial"/>
          <w:bCs/>
          <w:iCs/>
        </w:rPr>
      </w:pPr>
      <w:r w:rsidRPr="00CD6938">
        <w:rPr>
          <w:rFonts w:ascii="Arial" w:hAnsi="Arial" w:cs="Arial"/>
          <w:bCs/>
          <w:iCs/>
        </w:rPr>
        <w:t>A state agency may award WIC subgrants only to organizations meeting the regulatory definition of “local agency.” Such organizations include public or private nonprofit health agencies, human service agencies that provide health services, IHS health units, and ITOs described in the WIC program regulations (see definition of “local agency” in 7 CFR section 246.2).</w:t>
      </w:r>
    </w:p>
    <w:p w14:paraId="1F8D4412" w14:textId="685F9175" w:rsidR="00434AE4" w:rsidRPr="00434AE4" w:rsidRDefault="00434AE4" w:rsidP="00434AE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BC66884" w14:textId="77777777" w:rsidR="00E039F3" w:rsidRPr="00220BD0" w:rsidRDefault="00E039F3" w:rsidP="006672EA">
      <w:pPr>
        <w:pStyle w:val="Heading3"/>
        <w:jc w:val="both"/>
        <w:rPr>
          <w:rFonts w:cs="Arial"/>
          <w:sz w:val="24"/>
          <w:szCs w:val="24"/>
        </w:rPr>
      </w:pPr>
      <w:bookmarkStart w:id="68" w:name="_Toc188606079"/>
      <w:r w:rsidRPr="00220BD0">
        <w:rPr>
          <w:rFonts w:cs="Arial"/>
          <w:sz w:val="24"/>
          <w:szCs w:val="24"/>
        </w:rPr>
        <w:lastRenderedPageBreak/>
        <w:t>Additional Program Specific Information</w:t>
      </w:r>
      <w:bookmarkEnd w:id="6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25D5C6A3" w:rsidR="00CD5DC7" w:rsidRPr="00AA5B05" w:rsidRDefault="00CD5DC7"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12E97">
        <w:rPr>
          <w:rFonts w:ascii="Arial" w:hAnsi="Arial" w:cs="Arial"/>
          <w:b/>
          <w:highlight w:val="yellow"/>
        </w:rPr>
        <w:t xml:space="preserve"> and</w:t>
      </w:r>
    </w:p>
    <w:p w14:paraId="0BAD7EED" w14:textId="622D6DA6" w:rsidR="006E46AD" w:rsidRPr="00AA5B05" w:rsidRDefault="006E46AD"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EB7C5BA" w14:textId="77777777" w:rsidR="006550AB" w:rsidRPr="005F4D28" w:rsidRDefault="006550AB" w:rsidP="006550AB">
      <w:pPr>
        <w:shd w:val="clear" w:color="auto" w:fill="FFFFFF"/>
        <w:spacing w:after="240"/>
        <w:jc w:val="both"/>
        <w:rPr>
          <w:rFonts w:ascii="Arial" w:hAnsi="Arial" w:cs="Arial"/>
          <w:color w:val="4A4A4A"/>
          <w:lang w:val="en"/>
        </w:rPr>
      </w:pPr>
      <w:r w:rsidRPr="006D45DC">
        <w:rPr>
          <w:rFonts w:ascii="Arial" w:hAnsi="Arial" w:cs="Arial"/>
          <w:color w:val="4A4A4A"/>
          <w:lang w:val="en"/>
        </w:rPr>
        <w:t>In order to be eligible for WIC, the gross countable income of the economic unit, of which the applicant/participant is a member, must be less than or equal to the Ohio WIC program income guidelines for economic unit size provided in the following chart. WIC income guidelines are updated each year. </w:t>
      </w:r>
    </w:p>
    <w:tbl>
      <w:tblPr>
        <w:tblW w:w="9535" w:type="dxa"/>
        <w:tblLook w:val="04A0" w:firstRow="1" w:lastRow="0" w:firstColumn="1" w:lastColumn="0" w:noHBand="0" w:noVBand="1"/>
      </w:tblPr>
      <w:tblGrid>
        <w:gridCol w:w="1525"/>
        <w:gridCol w:w="1800"/>
        <w:gridCol w:w="1530"/>
        <w:gridCol w:w="1530"/>
        <w:gridCol w:w="1530"/>
        <w:gridCol w:w="1620"/>
      </w:tblGrid>
      <w:tr w:rsidR="006550AB" w:rsidRPr="004D2745" w14:paraId="4BFCA23C" w14:textId="77777777" w:rsidTr="00082C2D">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94DB4"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Economic Unit</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7A96EA1F"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Annually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0AA0B1A8"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51CC4063"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Twice 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23CF054F"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Biweekly</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580B7E64" w14:textId="77777777" w:rsidR="006550AB" w:rsidRPr="004D2745" w:rsidRDefault="006550AB" w:rsidP="00082C2D">
            <w:pPr>
              <w:jc w:val="center"/>
              <w:rPr>
                <w:rFonts w:ascii="Verdana" w:hAnsi="Verdana" w:cs="Calibri"/>
                <w:color w:val="000000"/>
                <w:sz w:val="16"/>
                <w:szCs w:val="16"/>
              </w:rPr>
            </w:pPr>
            <w:r w:rsidRPr="004D2745">
              <w:rPr>
                <w:rFonts w:ascii="Verdana" w:hAnsi="Verdana" w:cs="Calibri"/>
                <w:color w:val="000000"/>
                <w:sz w:val="16"/>
                <w:szCs w:val="16"/>
              </w:rPr>
              <w:t>Weekly</w:t>
            </w:r>
          </w:p>
        </w:tc>
      </w:tr>
      <w:tr w:rsidR="006550AB" w:rsidRPr="004D2745" w14:paraId="424FF8B4"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35E8C4D2"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w:t>
            </w:r>
          </w:p>
        </w:tc>
        <w:tc>
          <w:tcPr>
            <w:tcW w:w="1800" w:type="dxa"/>
            <w:tcBorders>
              <w:top w:val="nil"/>
              <w:left w:val="nil"/>
              <w:bottom w:val="single" w:sz="4" w:space="0" w:color="auto"/>
              <w:right w:val="single" w:sz="4" w:space="0" w:color="auto"/>
            </w:tcBorders>
            <w:shd w:val="clear" w:color="000000" w:fill="FFFFFF"/>
            <w:vAlign w:val="center"/>
            <w:hideMark/>
          </w:tcPr>
          <w:p w14:paraId="3DD36AC8"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 xml:space="preserve">$27,861 </w:t>
            </w:r>
          </w:p>
        </w:tc>
        <w:tc>
          <w:tcPr>
            <w:tcW w:w="1530" w:type="dxa"/>
            <w:tcBorders>
              <w:top w:val="nil"/>
              <w:left w:val="nil"/>
              <w:bottom w:val="single" w:sz="4" w:space="0" w:color="auto"/>
              <w:right w:val="single" w:sz="4" w:space="0" w:color="auto"/>
            </w:tcBorders>
            <w:shd w:val="clear" w:color="000000" w:fill="FFFFFF"/>
            <w:vAlign w:val="center"/>
            <w:hideMark/>
          </w:tcPr>
          <w:p w14:paraId="72B440DC"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 xml:space="preserve">$2,322 </w:t>
            </w:r>
          </w:p>
        </w:tc>
        <w:tc>
          <w:tcPr>
            <w:tcW w:w="1530" w:type="dxa"/>
            <w:tcBorders>
              <w:top w:val="nil"/>
              <w:left w:val="nil"/>
              <w:bottom w:val="single" w:sz="4" w:space="0" w:color="auto"/>
              <w:right w:val="single" w:sz="4" w:space="0" w:color="auto"/>
            </w:tcBorders>
            <w:shd w:val="clear" w:color="000000" w:fill="FFFFFF"/>
            <w:vAlign w:val="center"/>
            <w:hideMark/>
          </w:tcPr>
          <w:p w14:paraId="08293FB2"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 xml:space="preserve">$1,161 </w:t>
            </w:r>
          </w:p>
        </w:tc>
        <w:tc>
          <w:tcPr>
            <w:tcW w:w="1530" w:type="dxa"/>
            <w:tcBorders>
              <w:top w:val="nil"/>
              <w:left w:val="nil"/>
              <w:bottom w:val="single" w:sz="4" w:space="0" w:color="auto"/>
              <w:right w:val="single" w:sz="4" w:space="0" w:color="auto"/>
            </w:tcBorders>
            <w:shd w:val="clear" w:color="000000" w:fill="FFFFFF"/>
            <w:vAlign w:val="center"/>
            <w:hideMark/>
          </w:tcPr>
          <w:p w14:paraId="317D483C"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 xml:space="preserve">$1,072 </w:t>
            </w:r>
          </w:p>
        </w:tc>
        <w:tc>
          <w:tcPr>
            <w:tcW w:w="1620" w:type="dxa"/>
            <w:tcBorders>
              <w:top w:val="nil"/>
              <w:left w:val="nil"/>
              <w:bottom w:val="single" w:sz="4" w:space="0" w:color="auto"/>
              <w:right w:val="single" w:sz="4" w:space="0" w:color="auto"/>
            </w:tcBorders>
            <w:shd w:val="clear" w:color="000000" w:fill="FFFFFF"/>
            <w:vAlign w:val="center"/>
            <w:hideMark/>
          </w:tcPr>
          <w:p w14:paraId="2E4904F5"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 xml:space="preserve">$536 </w:t>
            </w:r>
          </w:p>
        </w:tc>
      </w:tr>
      <w:tr w:rsidR="006550AB" w:rsidRPr="004D2745" w14:paraId="0013CD96"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104F918"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w:t>
            </w:r>
          </w:p>
        </w:tc>
        <w:tc>
          <w:tcPr>
            <w:tcW w:w="1800" w:type="dxa"/>
            <w:tcBorders>
              <w:top w:val="nil"/>
              <w:left w:val="nil"/>
              <w:bottom w:val="single" w:sz="4" w:space="0" w:color="auto"/>
              <w:right w:val="single" w:sz="4" w:space="0" w:color="auto"/>
            </w:tcBorders>
            <w:shd w:val="clear" w:color="000000" w:fill="FFFFFF"/>
            <w:vAlign w:val="center"/>
            <w:hideMark/>
          </w:tcPr>
          <w:p w14:paraId="06D4D02F"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37,814</w:t>
            </w:r>
          </w:p>
        </w:tc>
        <w:tc>
          <w:tcPr>
            <w:tcW w:w="1530" w:type="dxa"/>
            <w:tcBorders>
              <w:top w:val="nil"/>
              <w:left w:val="nil"/>
              <w:bottom w:val="single" w:sz="4" w:space="0" w:color="auto"/>
              <w:right w:val="single" w:sz="4" w:space="0" w:color="auto"/>
            </w:tcBorders>
            <w:shd w:val="clear" w:color="000000" w:fill="FFFFFF"/>
            <w:vAlign w:val="center"/>
            <w:hideMark/>
          </w:tcPr>
          <w:p w14:paraId="2D4352F9"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3,152</w:t>
            </w:r>
          </w:p>
        </w:tc>
        <w:tc>
          <w:tcPr>
            <w:tcW w:w="1530" w:type="dxa"/>
            <w:tcBorders>
              <w:top w:val="nil"/>
              <w:left w:val="nil"/>
              <w:bottom w:val="single" w:sz="4" w:space="0" w:color="auto"/>
              <w:right w:val="single" w:sz="4" w:space="0" w:color="auto"/>
            </w:tcBorders>
            <w:shd w:val="clear" w:color="000000" w:fill="FFFFFF"/>
            <w:vAlign w:val="center"/>
            <w:hideMark/>
          </w:tcPr>
          <w:p w14:paraId="0AD2E145"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1,576</w:t>
            </w:r>
          </w:p>
        </w:tc>
        <w:tc>
          <w:tcPr>
            <w:tcW w:w="1530" w:type="dxa"/>
            <w:tcBorders>
              <w:top w:val="nil"/>
              <w:left w:val="nil"/>
              <w:bottom w:val="single" w:sz="4" w:space="0" w:color="auto"/>
              <w:right w:val="single" w:sz="4" w:space="0" w:color="auto"/>
            </w:tcBorders>
            <w:shd w:val="clear" w:color="000000" w:fill="FFFFFF"/>
            <w:vAlign w:val="center"/>
            <w:hideMark/>
          </w:tcPr>
          <w:p w14:paraId="5718BA2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1,455</w:t>
            </w:r>
          </w:p>
        </w:tc>
        <w:tc>
          <w:tcPr>
            <w:tcW w:w="1620" w:type="dxa"/>
            <w:tcBorders>
              <w:top w:val="nil"/>
              <w:left w:val="nil"/>
              <w:bottom w:val="single" w:sz="4" w:space="0" w:color="auto"/>
              <w:right w:val="single" w:sz="4" w:space="0" w:color="auto"/>
            </w:tcBorders>
            <w:shd w:val="clear" w:color="000000" w:fill="FFFFFF"/>
            <w:vAlign w:val="center"/>
            <w:hideMark/>
          </w:tcPr>
          <w:p w14:paraId="6AA9685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728</w:t>
            </w:r>
          </w:p>
        </w:tc>
      </w:tr>
      <w:tr w:rsidR="006550AB" w:rsidRPr="004D2745" w14:paraId="4CAFFB4A"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2C2A506"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w:t>
            </w:r>
          </w:p>
        </w:tc>
        <w:tc>
          <w:tcPr>
            <w:tcW w:w="1800" w:type="dxa"/>
            <w:tcBorders>
              <w:top w:val="nil"/>
              <w:left w:val="nil"/>
              <w:bottom w:val="single" w:sz="4" w:space="0" w:color="auto"/>
              <w:right w:val="single" w:sz="4" w:space="0" w:color="auto"/>
            </w:tcBorders>
            <w:shd w:val="clear" w:color="000000" w:fill="FFFFFF"/>
            <w:vAlign w:val="center"/>
            <w:hideMark/>
          </w:tcPr>
          <w:p w14:paraId="50418D2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47,767</w:t>
            </w:r>
          </w:p>
        </w:tc>
        <w:tc>
          <w:tcPr>
            <w:tcW w:w="1530" w:type="dxa"/>
            <w:tcBorders>
              <w:top w:val="nil"/>
              <w:left w:val="nil"/>
              <w:bottom w:val="single" w:sz="4" w:space="0" w:color="auto"/>
              <w:right w:val="single" w:sz="4" w:space="0" w:color="auto"/>
            </w:tcBorders>
            <w:shd w:val="clear" w:color="000000" w:fill="FFFFFF"/>
            <w:vAlign w:val="center"/>
            <w:hideMark/>
          </w:tcPr>
          <w:p w14:paraId="7DD00A16"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3,981</w:t>
            </w:r>
          </w:p>
        </w:tc>
        <w:tc>
          <w:tcPr>
            <w:tcW w:w="1530" w:type="dxa"/>
            <w:tcBorders>
              <w:top w:val="nil"/>
              <w:left w:val="nil"/>
              <w:bottom w:val="single" w:sz="4" w:space="0" w:color="auto"/>
              <w:right w:val="single" w:sz="4" w:space="0" w:color="auto"/>
            </w:tcBorders>
            <w:shd w:val="clear" w:color="000000" w:fill="FFFFFF"/>
            <w:vAlign w:val="center"/>
            <w:hideMark/>
          </w:tcPr>
          <w:p w14:paraId="311FF996"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1,991</w:t>
            </w:r>
          </w:p>
        </w:tc>
        <w:tc>
          <w:tcPr>
            <w:tcW w:w="1530" w:type="dxa"/>
            <w:tcBorders>
              <w:top w:val="nil"/>
              <w:left w:val="nil"/>
              <w:bottom w:val="single" w:sz="4" w:space="0" w:color="auto"/>
              <w:right w:val="single" w:sz="4" w:space="0" w:color="auto"/>
            </w:tcBorders>
            <w:shd w:val="clear" w:color="000000" w:fill="FFFFFF"/>
            <w:vAlign w:val="center"/>
            <w:hideMark/>
          </w:tcPr>
          <w:p w14:paraId="32B6B24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1,838</w:t>
            </w:r>
          </w:p>
        </w:tc>
        <w:tc>
          <w:tcPr>
            <w:tcW w:w="1620" w:type="dxa"/>
            <w:tcBorders>
              <w:top w:val="nil"/>
              <w:left w:val="nil"/>
              <w:bottom w:val="single" w:sz="4" w:space="0" w:color="auto"/>
              <w:right w:val="single" w:sz="4" w:space="0" w:color="auto"/>
            </w:tcBorders>
            <w:shd w:val="clear" w:color="000000" w:fill="FFFFFF"/>
            <w:vAlign w:val="center"/>
            <w:hideMark/>
          </w:tcPr>
          <w:p w14:paraId="25E13B63"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919</w:t>
            </w:r>
          </w:p>
        </w:tc>
      </w:tr>
      <w:tr w:rsidR="006550AB" w:rsidRPr="004D2745" w14:paraId="67DE18C0"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64813D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4</w:t>
            </w:r>
          </w:p>
        </w:tc>
        <w:tc>
          <w:tcPr>
            <w:tcW w:w="1800" w:type="dxa"/>
            <w:tcBorders>
              <w:top w:val="nil"/>
              <w:left w:val="nil"/>
              <w:bottom w:val="single" w:sz="4" w:space="0" w:color="auto"/>
              <w:right w:val="single" w:sz="4" w:space="0" w:color="auto"/>
            </w:tcBorders>
            <w:shd w:val="clear" w:color="000000" w:fill="FFFFFF"/>
            <w:vAlign w:val="center"/>
            <w:hideMark/>
          </w:tcPr>
          <w:p w14:paraId="662CC27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57,720</w:t>
            </w:r>
          </w:p>
        </w:tc>
        <w:tc>
          <w:tcPr>
            <w:tcW w:w="1530" w:type="dxa"/>
            <w:tcBorders>
              <w:top w:val="nil"/>
              <w:left w:val="nil"/>
              <w:bottom w:val="single" w:sz="4" w:space="0" w:color="auto"/>
              <w:right w:val="single" w:sz="4" w:space="0" w:color="auto"/>
            </w:tcBorders>
            <w:shd w:val="clear" w:color="000000" w:fill="FFFFFF"/>
            <w:vAlign w:val="center"/>
            <w:hideMark/>
          </w:tcPr>
          <w:p w14:paraId="5E2C4583"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4,810</w:t>
            </w:r>
          </w:p>
        </w:tc>
        <w:tc>
          <w:tcPr>
            <w:tcW w:w="1530" w:type="dxa"/>
            <w:tcBorders>
              <w:top w:val="nil"/>
              <w:left w:val="nil"/>
              <w:bottom w:val="single" w:sz="4" w:space="0" w:color="auto"/>
              <w:right w:val="single" w:sz="4" w:space="0" w:color="auto"/>
            </w:tcBorders>
            <w:shd w:val="clear" w:color="000000" w:fill="FFFFFF"/>
            <w:vAlign w:val="center"/>
            <w:hideMark/>
          </w:tcPr>
          <w:p w14:paraId="637391F9"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2,405</w:t>
            </w:r>
          </w:p>
        </w:tc>
        <w:tc>
          <w:tcPr>
            <w:tcW w:w="1530" w:type="dxa"/>
            <w:tcBorders>
              <w:top w:val="nil"/>
              <w:left w:val="nil"/>
              <w:bottom w:val="single" w:sz="4" w:space="0" w:color="auto"/>
              <w:right w:val="single" w:sz="4" w:space="0" w:color="auto"/>
            </w:tcBorders>
            <w:shd w:val="clear" w:color="000000" w:fill="FFFFFF"/>
            <w:vAlign w:val="center"/>
            <w:hideMark/>
          </w:tcPr>
          <w:p w14:paraId="63B3E01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2,220</w:t>
            </w:r>
          </w:p>
        </w:tc>
        <w:tc>
          <w:tcPr>
            <w:tcW w:w="1620" w:type="dxa"/>
            <w:tcBorders>
              <w:top w:val="nil"/>
              <w:left w:val="nil"/>
              <w:bottom w:val="single" w:sz="4" w:space="0" w:color="auto"/>
              <w:right w:val="single" w:sz="4" w:space="0" w:color="auto"/>
            </w:tcBorders>
            <w:shd w:val="clear" w:color="000000" w:fill="FFFFFF"/>
            <w:vAlign w:val="center"/>
            <w:hideMark/>
          </w:tcPr>
          <w:p w14:paraId="06A7A127"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1,110</w:t>
            </w:r>
          </w:p>
        </w:tc>
      </w:tr>
      <w:tr w:rsidR="006550AB" w:rsidRPr="004D2745" w14:paraId="0A08DC31"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E6877CF"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5</w:t>
            </w:r>
          </w:p>
        </w:tc>
        <w:tc>
          <w:tcPr>
            <w:tcW w:w="1800" w:type="dxa"/>
            <w:tcBorders>
              <w:top w:val="nil"/>
              <w:left w:val="nil"/>
              <w:bottom w:val="single" w:sz="4" w:space="0" w:color="auto"/>
              <w:right w:val="single" w:sz="4" w:space="0" w:color="auto"/>
            </w:tcBorders>
            <w:shd w:val="clear" w:color="000000" w:fill="FFFFFF"/>
            <w:vAlign w:val="center"/>
            <w:hideMark/>
          </w:tcPr>
          <w:p w14:paraId="18C915EB"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67,673</w:t>
            </w:r>
          </w:p>
        </w:tc>
        <w:tc>
          <w:tcPr>
            <w:tcW w:w="1530" w:type="dxa"/>
            <w:tcBorders>
              <w:top w:val="nil"/>
              <w:left w:val="nil"/>
              <w:bottom w:val="single" w:sz="4" w:space="0" w:color="auto"/>
              <w:right w:val="single" w:sz="4" w:space="0" w:color="auto"/>
            </w:tcBorders>
            <w:shd w:val="clear" w:color="000000" w:fill="FFFFFF"/>
            <w:vAlign w:val="center"/>
            <w:hideMark/>
          </w:tcPr>
          <w:p w14:paraId="755AAA6A"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5,640</w:t>
            </w:r>
          </w:p>
        </w:tc>
        <w:tc>
          <w:tcPr>
            <w:tcW w:w="1530" w:type="dxa"/>
            <w:tcBorders>
              <w:top w:val="nil"/>
              <w:left w:val="nil"/>
              <w:bottom w:val="single" w:sz="4" w:space="0" w:color="auto"/>
              <w:right w:val="single" w:sz="4" w:space="0" w:color="auto"/>
            </w:tcBorders>
            <w:shd w:val="clear" w:color="000000" w:fill="FFFFFF"/>
            <w:vAlign w:val="center"/>
            <w:hideMark/>
          </w:tcPr>
          <w:p w14:paraId="3248A0BD"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2,820</w:t>
            </w:r>
          </w:p>
        </w:tc>
        <w:tc>
          <w:tcPr>
            <w:tcW w:w="1530" w:type="dxa"/>
            <w:tcBorders>
              <w:top w:val="nil"/>
              <w:left w:val="nil"/>
              <w:bottom w:val="single" w:sz="4" w:space="0" w:color="auto"/>
              <w:right w:val="single" w:sz="4" w:space="0" w:color="auto"/>
            </w:tcBorders>
            <w:shd w:val="clear" w:color="000000" w:fill="FFFFFF"/>
            <w:vAlign w:val="center"/>
            <w:hideMark/>
          </w:tcPr>
          <w:p w14:paraId="274B52CC"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2,603</w:t>
            </w:r>
          </w:p>
        </w:tc>
        <w:tc>
          <w:tcPr>
            <w:tcW w:w="1620" w:type="dxa"/>
            <w:tcBorders>
              <w:top w:val="nil"/>
              <w:left w:val="nil"/>
              <w:bottom w:val="single" w:sz="4" w:space="0" w:color="auto"/>
              <w:right w:val="single" w:sz="4" w:space="0" w:color="auto"/>
            </w:tcBorders>
            <w:shd w:val="clear" w:color="000000" w:fill="FFFFFF"/>
            <w:vAlign w:val="center"/>
            <w:hideMark/>
          </w:tcPr>
          <w:p w14:paraId="0FB4115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1,302</w:t>
            </w:r>
          </w:p>
        </w:tc>
      </w:tr>
      <w:tr w:rsidR="006550AB" w:rsidRPr="004D2745" w14:paraId="07866785"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0F40B23"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6</w:t>
            </w:r>
          </w:p>
        </w:tc>
        <w:tc>
          <w:tcPr>
            <w:tcW w:w="1800" w:type="dxa"/>
            <w:tcBorders>
              <w:top w:val="nil"/>
              <w:left w:val="nil"/>
              <w:bottom w:val="single" w:sz="4" w:space="0" w:color="auto"/>
              <w:right w:val="single" w:sz="4" w:space="0" w:color="auto"/>
            </w:tcBorders>
            <w:shd w:val="clear" w:color="000000" w:fill="FFFFFF"/>
            <w:vAlign w:val="center"/>
            <w:hideMark/>
          </w:tcPr>
          <w:p w14:paraId="7D5BEE3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77,626</w:t>
            </w:r>
          </w:p>
        </w:tc>
        <w:tc>
          <w:tcPr>
            <w:tcW w:w="1530" w:type="dxa"/>
            <w:tcBorders>
              <w:top w:val="nil"/>
              <w:left w:val="nil"/>
              <w:bottom w:val="single" w:sz="4" w:space="0" w:color="auto"/>
              <w:right w:val="single" w:sz="4" w:space="0" w:color="auto"/>
            </w:tcBorders>
            <w:shd w:val="clear" w:color="000000" w:fill="FFFFFF"/>
            <w:vAlign w:val="center"/>
            <w:hideMark/>
          </w:tcPr>
          <w:p w14:paraId="4ACDBBA5"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6,469</w:t>
            </w:r>
          </w:p>
        </w:tc>
        <w:tc>
          <w:tcPr>
            <w:tcW w:w="1530" w:type="dxa"/>
            <w:tcBorders>
              <w:top w:val="nil"/>
              <w:left w:val="nil"/>
              <w:bottom w:val="single" w:sz="4" w:space="0" w:color="auto"/>
              <w:right w:val="single" w:sz="4" w:space="0" w:color="auto"/>
            </w:tcBorders>
            <w:shd w:val="clear" w:color="000000" w:fill="FFFFFF"/>
            <w:vAlign w:val="center"/>
            <w:hideMark/>
          </w:tcPr>
          <w:p w14:paraId="51A48DDE"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3,235</w:t>
            </w:r>
          </w:p>
        </w:tc>
        <w:tc>
          <w:tcPr>
            <w:tcW w:w="1530" w:type="dxa"/>
            <w:tcBorders>
              <w:top w:val="nil"/>
              <w:left w:val="nil"/>
              <w:bottom w:val="single" w:sz="4" w:space="0" w:color="auto"/>
              <w:right w:val="single" w:sz="4" w:space="0" w:color="auto"/>
            </w:tcBorders>
            <w:shd w:val="clear" w:color="000000" w:fill="FFFFFF"/>
            <w:vAlign w:val="center"/>
            <w:hideMark/>
          </w:tcPr>
          <w:p w14:paraId="30E3713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2,986</w:t>
            </w:r>
          </w:p>
        </w:tc>
        <w:tc>
          <w:tcPr>
            <w:tcW w:w="1620" w:type="dxa"/>
            <w:tcBorders>
              <w:top w:val="nil"/>
              <w:left w:val="nil"/>
              <w:bottom w:val="single" w:sz="4" w:space="0" w:color="auto"/>
              <w:right w:val="single" w:sz="4" w:space="0" w:color="auto"/>
            </w:tcBorders>
            <w:shd w:val="clear" w:color="000000" w:fill="FFFFFF"/>
            <w:vAlign w:val="center"/>
            <w:hideMark/>
          </w:tcPr>
          <w:p w14:paraId="207A1BBA"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1,493</w:t>
            </w:r>
          </w:p>
        </w:tc>
      </w:tr>
      <w:tr w:rsidR="006550AB" w:rsidRPr="004D2745" w14:paraId="49B03BC7"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A3E0E97"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7</w:t>
            </w:r>
          </w:p>
        </w:tc>
        <w:tc>
          <w:tcPr>
            <w:tcW w:w="1800" w:type="dxa"/>
            <w:tcBorders>
              <w:top w:val="nil"/>
              <w:left w:val="nil"/>
              <w:bottom w:val="single" w:sz="4" w:space="0" w:color="auto"/>
              <w:right w:val="single" w:sz="4" w:space="0" w:color="auto"/>
            </w:tcBorders>
            <w:shd w:val="clear" w:color="000000" w:fill="FFFFFF"/>
            <w:vAlign w:val="center"/>
            <w:hideMark/>
          </w:tcPr>
          <w:p w14:paraId="49C2965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87,579</w:t>
            </w:r>
          </w:p>
        </w:tc>
        <w:tc>
          <w:tcPr>
            <w:tcW w:w="1530" w:type="dxa"/>
            <w:tcBorders>
              <w:top w:val="nil"/>
              <w:left w:val="nil"/>
              <w:bottom w:val="single" w:sz="4" w:space="0" w:color="auto"/>
              <w:right w:val="single" w:sz="4" w:space="0" w:color="auto"/>
            </w:tcBorders>
            <w:shd w:val="clear" w:color="000000" w:fill="FFFFFF"/>
            <w:vAlign w:val="center"/>
            <w:hideMark/>
          </w:tcPr>
          <w:p w14:paraId="490D64A3"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7,299</w:t>
            </w:r>
          </w:p>
        </w:tc>
        <w:tc>
          <w:tcPr>
            <w:tcW w:w="1530" w:type="dxa"/>
            <w:tcBorders>
              <w:top w:val="nil"/>
              <w:left w:val="nil"/>
              <w:bottom w:val="single" w:sz="4" w:space="0" w:color="auto"/>
              <w:right w:val="single" w:sz="4" w:space="0" w:color="auto"/>
            </w:tcBorders>
            <w:shd w:val="clear" w:color="000000" w:fill="FFFFFF"/>
            <w:vAlign w:val="center"/>
            <w:hideMark/>
          </w:tcPr>
          <w:p w14:paraId="21DA986F"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3,650</w:t>
            </w:r>
          </w:p>
        </w:tc>
        <w:tc>
          <w:tcPr>
            <w:tcW w:w="1530" w:type="dxa"/>
            <w:tcBorders>
              <w:top w:val="nil"/>
              <w:left w:val="nil"/>
              <w:bottom w:val="single" w:sz="4" w:space="0" w:color="auto"/>
              <w:right w:val="single" w:sz="4" w:space="0" w:color="auto"/>
            </w:tcBorders>
            <w:shd w:val="clear" w:color="000000" w:fill="FFFFFF"/>
            <w:vAlign w:val="center"/>
            <w:hideMark/>
          </w:tcPr>
          <w:p w14:paraId="5A169E48"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3,369</w:t>
            </w:r>
          </w:p>
        </w:tc>
        <w:tc>
          <w:tcPr>
            <w:tcW w:w="1620" w:type="dxa"/>
            <w:tcBorders>
              <w:top w:val="nil"/>
              <w:left w:val="nil"/>
              <w:bottom w:val="single" w:sz="4" w:space="0" w:color="auto"/>
              <w:right w:val="single" w:sz="4" w:space="0" w:color="auto"/>
            </w:tcBorders>
            <w:shd w:val="clear" w:color="000000" w:fill="FFFFFF"/>
            <w:vAlign w:val="center"/>
            <w:hideMark/>
          </w:tcPr>
          <w:p w14:paraId="30C326B2"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1,685</w:t>
            </w:r>
          </w:p>
        </w:tc>
      </w:tr>
      <w:tr w:rsidR="006550AB" w:rsidRPr="004D2745" w14:paraId="650C6C41" w14:textId="77777777" w:rsidTr="00082C2D">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8F21537"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8</w:t>
            </w:r>
          </w:p>
        </w:tc>
        <w:tc>
          <w:tcPr>
            <w:tcW w:w="1800" w:type="dxa"/>
            <w:tcBorders>
              <w:top w:val="nil"/>
              <w:left w:val="nil"/>
              <w:bottom w:val="single" w:sz="4" w:space="0" w:color="auto"/>
              <w:right w:val="single" w:sz="4" w:space="0" w:color="auto"/>
            </w:tcBorders>
            <w:shd w:val="clear" w:color="000000" w:fill="FFFFFF"/>
            <w:vAlign w:val="center"/>
            <w:hideMark/>
          </w:tcPr>
          <w:p w14:paraId="4A24A33D"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97,532</w:t>
            </w:r>
          </w:p>
        </w:tc>
        <w:tc>
          <w:tcPr>
            <w:tcW w:w="1530" w:type="dxa"/>
            <w:tcBorders>
              <w:top w:val="nil"/>
              <w:left w:val="nil"/>
              <w:bottom w:val="single" w:sz="4" w:space="0" w:color="auto"/>
              <w:right w:val="single" w:sz="4" w:space="0" w:color="auto"/>
            </w:tcBorders>
            <w:shd w:val="clear" w:color="000000" w:fill="FFFFFF"/>
            <w:vAlign w:val="center"/>
            <w:hideMark/>
          </w:tcPr>
          <w:p w14:paraId="7A974734"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8,128</w:t>
            </w:r>
          </w:p>
        </w:tc>
        <w:tc>
          <w:tcPr>
            <w:tcW w:w="1530" w:type="dxa"/>
            <w:tcBorders>
              <w:top w:val="nil"/>
              <w:left w:val="nil"/>
              <w:bottom w:val="single" w:sz="4" w:space="0" w:color="auto"/>
              <w:right w:val="single" w:sz="4" w:space="0" w:color="auto"/>
            </w:tcBorders>
            <w:shd w:val="clear" w:color="000000" w:fill="FFFFFF"/>
            <w:vAlign w:val="center"/>
            <w:hideMark/>
          </w:tcPr>
          <w:p w14:paraId="18939340"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4,064</w:t>
            </w:r>
          </w:p>
        </w:tc>
        <w:tc>
          <w:tcPr>
            <w:tcW w:w="1530" w:type="dxa"/>
            <w:tcBorders>
              <w:top w:val="nil"/>
              <w:left w:val="nil"/>
              <w:bottom w:val="single" w:sz="4" w:space="0" w:color="auto"/>
              <w:right w:val="single" w:sz="4" w:space="0" w:color="auto"/>
            </w:tcBorders>
            <w:shd w:val="clear" w:color="000000" w:fill="FFFFFF"/>
            <w:vAlign w:val="center"/>
            <w:hideMark/>
          </w:tcPr>
          <w:p w14:paraId="7084AD61"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3,752</w:t>
            </w:r>
          </w:p>
        </w:tc>
        <w:tc>
          <w:tcPr>
            <w:tcW w:w="1620" w:type="dxa"/>
            <w:tcBorders>
              <w:top w:val="nil"/>
              <w:left w:val="nil"/>
              <w:bottom w:val="single" w:sz="4" w:space="0" w:color="auto"/>
              <w:right w:val="single" w:sz="4" w:space="0" w:color="auto"/>
            </w:tcBorders>
            <w:shd w:val="clear" w:color="000000" w:fill="FFFFFF"/>
            <w:vAlign w:val="center"/>
            <w:hideMark/>
          </w:tcPr>
          <w:p w14:paraId="2CFC45BF" w14:textId="77777777" w:rsidR="006550AB" w:rsidRPr="004D2745" w:rsidRDefault="006550AB" w:rsidP="00082C2D">
            <w:pPr>
              <w:jc w:val="center"/>
              <w:rPr>
                <w:rFonts w:ascii="Source Sans Pro" w:hAnsi="Source Sans Pro" w:cs="Calibri"/>
                <w:color w:val="4A4A4A"/>
              </w:rPr>
            </w:pPr>
            <w:r w:rsidRPr="004D2745">
              <w:rPr>
                <w:rFonts w:ascii="Source Sans Pro" w:hAnsi="Source Sans Pro" w:cs="Calibri"/>
                <w:color w:val="4A4A4A"/>
              </w:rPr>
              <w:t>1,876</w:t>
            </w:r>
          </w:p>
        </w:tc>
      </w:tr>
      <w:tr w:rsidR="006550AB" w:rsidRPr="004D2745" w14:paraId="212138ED" w14:textId="77777777" w:rsidTr="00082C2D">
        <w:trPr>
          <w:trHeight w:val="300"/>
        </w:trPr>
        <w:tc>
          <w:tcPr>
            <w:tcW w:w="1525" w:type="dxa"/>
            <w:tcBorders>
              <w:top w:val="nil"/>
              <w:left w:val="nil"/>
              <w:bottom w:val="nil"/>
              <w:right w:val="nil"/>
            </w:tcBorders>
            <w:shd w:val="clear" w:color="auto" w:fill="auto"/>
            <w:vAlign w:val="center"/>
            <w:hideMark/>
          </w:tcPr>
          <w:p w14:paraId="28A1D879" w14:textId="77777777" w:rsidR="006550AB" w:rsidRPr="004D2745" w:rsidRDefault="006550AB" w:rsidP="00082C2D">
            <w:pPr>
              <w:rPr>
                <w:rFonts w:ascii="Source Sans Pro" w:hAnsi="Source Sans Pro" w:cs="Calibri"/>
                <w:color w:val="4A4A4A"/>
              </w:rPr>
            </w:pPr>
            <w:r w:rsidRPr="004D2745">
              <w:rPr>
                <w:rFonts w:ascii="Source Sans Pro" w:hAnsi="Source Sans Pro" w:cs="Calibri"/>
                <w:color w:val="4A4A4A"/>
              </w:rPr>
              <w:t>Revised 7/24</w:t>
            </w:r>
          </w:p>
        </w:tc>
        <w:tc>
          <w:tcPr>
            <w:tcW w:w="1800" w:type="dxa"/>
            <w:tcBorders>
              <w:top w:val="nil"/>
              <w:left w:val="nil"/>
              <w:bottom w:val="nil"/>
              <w:right w:val="nil"/>
            </w:tcBorders>
            <w:shd w:val="clear" w:color="auto" w:fill="auto"/>
            <w:noWrap/>
            <w:vAlign w:val="bottom"/>
            <w:hideMark/>
          </w:tcPr>
          <w:p w14:paraId="63FA7225" w14:textId="77777777" w:rsidR="006550AB" w:rsidRPr="004D2745" w:rsidRDefault="006550AB" w:rsidP="00082C2D">
            <w:pPr>
              <w:rPr>
                <w:rFonts w:ascii="Source Sans Pro" w:hAnsi="Source Sans Pro" w:cs="Calibri"/>
                <w:color w:val="4A4A4A"/>
              </w:rPr>
            </w:pPr>
          </w:p>
        </w:tc>
        <w:tc>
          <w:tcPr>
            <w:tcW w:w="1530" w:type="dxa"/>
            <w:tcBorders>
              <w:top w:val="nil"/>
              <w:left w:val="nil"/>
              <w:bottom w:val="nil"/>
              <w:right w:val="nil"/>
            </w:tcBorders>
            <w:shd w:val="clear" w:color="auto" w:fill="auto"/>
            <w:noWrap/>
            <w:vAlign w:val="bottom"/>
            <w:hideMark/>
          </w:tcPr>
          <w:p w14:paraId="19F9EDA1" w14:textId="77777777" w:rsidR="006550AB" w:rsidRPr="004D2745" w:rsidRDefault="006550AB" w:rsidP="00082C2D"/>
        </w:tc>
        <w:tc>
          <w:tcPr>
            <w:tcW w:w="1530" w:type="dxa"/>
            <w:tcBorders>
              <w:top w:val="nil"/>
              <w:left w:val="nil"/>
              <w:bottom w:val="nil"/>
              <w:right w:val="nil"/>
            </w:tcBorders>
            <w:shd w:val="clear" w:color="auto" w:fill="auto"/>
            <w:noWrap/>
            <w:vAlign w:val="bottom"/>
            <w:hideMark/>
          </w:tcPr>
          <w:p w14:paraId="241DFA74" w14:textId="77777777" w:rsidR="006550AB" w:rsidRPr="004D2745" w:rsidRDefault="006550AB" w:rsidP="00082C2D"/>
        </w:tc>
        <w:tc>
          <w:tcPr>
            <w:tcW w:w="1530" w:type="dxa"/>
            <w:tcBorders>
              <w:top w:val="nil"/>
              <w:left w:val="nil"/>
              <w:bottom w:val="nil"/>
              <w:right w:val="nil"/>
            </w:tcBorders>
            <w:shd w:val="clear" w:color="auto" w:fill="auto"/>
            <w:noWrap/>
            <w:vAlign w:val="bottom"/>
            <w:hideMark/>
          </w:tcPr>
          <w:p w14:paraId="2D1DFA20" w14:textId="77777777" w:rsidR="006550AB" w:rsidRPr="004D2745" w:rsidRDefault="006550AB" w:rsidP="00082C2D"/>
        </w:tc>
        <w:tc>
          <w:tcPr>
            <w:tcW w:w="1620" w:type="dxa"/>
            <w:tcBorders>
              <w:top w:val="nil"/>
              <w:left w:val="nil"/>
              <w:bottom w:val="nil"/>
              <w:right w:val="nil"/>
            </w:tcBorders>
            <w:shd w:val="clear" w:color="auto" w:fill="auto"/>
            <w:noWrap/>
            <w:vAlign w:val="bottom"/>
            <w:hideMark/>
          </w:tcPr>
          <w:p w14:paraId="72116A20" w14:textId="77777777" w:rsidR="006550AB" w:rsidRPr="004D2745" w:rsidRDefault="006550AB" w:rsidP="00082C2D"/>
        </w:tc>
      </w:tr>
    </w:tbl>
    <w:p w14:paraId="0DE46814" w14:textId="1B989C4A" w:rsidR="006550AB" w:rsidRPr="006550AB" w:rsidRDefault="006550AB" w:rsidP="006550A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81826">
        <w:rPr>
          <w:rFonts w:ascii="Arial" w:hAnsi="Arial" w:cs="Arial"/>
          <w:i/>
        </w:rPr>
        <w:t xml:space="preserve">(Source: </w:t>
      </w:r>
      <w:hyperlink r:id="rId64" w:history="1">
        <w:r w:rsidRPr="00581826">
          <w:rPr>
            <w:rStyle w:val="Hyperlink"/>
            <w:rFonts w:cs="Arial"/>
            <w:i/>
          </w:rPr>
          <w:t>Ohio WIC Program Eligibility website</w:t>
        </w:r>
      </w:hyperlink>
      <w:r w:rsidRPr="00581826">
        <w:rPr>
          <w:rFonts w:ascii="Arial" w:hAnsi="Arial" w:cs="Arial"/>
          <w:i/>
        </w:rPr>
        <w:t xml:space="preserve"> on the Ohio WIC Program Income Guidelines tab)</w:t>
      </w:r>
    </w:p>
    <w:p w14:paraId="1D8AF16A"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B179B9">
        <w:rPr>
          <w:rFonts w:ascii="Arial" w:hAnsi="Arial" w:cs="Arial"/>
          <w:b/>
          <w:u w:val="single"/>
        </w:rPr>
        <w:t>Ohio Department of Health</w:t>
      </w:r>
    </w:p>
    <w:p w14:paraId="765C3BC8" w14:textId="77777777" w:rsidR="00612E97" w:rsidRPr="00B179B9"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b/>
          <w:highlight w:val="yellow"/>
        </w:rPr>
      </w:pPr>
      <w:r w:rsidRPr="00B179B9">
        <w:rPr>
          <w:rFonts w:ascii="Arial" w:hAnsi="Arial" w:cs="Arial"/>
          <w:b/>
          <w:bCs/>
        </w:rPr>
        <w:t>B1.1 Eligibility</w:t>
      </w:r>
    </w:p>
    <w:p w14:paraId="4B6E6469"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Eligible organizations may include State, Local and Indian Tribal Governments, institutions of higher education, non-profit organizations (including faith-based, community-based, and tribal organizations), and hospitals. Specific eligibility requirements are found in the program specific Solicitation.</w:t>
      </w:r>
    </w:p>
    <w:p w14:paraId="650EFA9E" w14:textId="77777777" w:rsidR="00612E97" w:rsidRPr="00B179B9" w:rsidRDefault="00612E97" w:rsidP="00612E97">
      <w:pPr>
        <w:autoSpaceDE w:val="0"/>
        <w:autoSpaceDN w:val="0"/>
        <w:adjustRightInd w:val="0"/>
        <w:spacing w:after="240"/>
        <w:jc w:val="both"/>
        <w:rPr>
          <w:rFonts w:ascii="Arial" w:hAnsi="Arial" w:cs="Arial"/>
          <w:color w:val="000000"/>
        </w:rPr>
      </w:pPr>
      <w:r w:rsidRPr="00B179B9">
        <w:rPr>
          <w:rFonts w:ascii="Arial" w:hAnsi="Arial" w:cs="Arial"/>
          <w:color w:val="000000"/>
        </w:rPr>
        <w:t xml:space="preserve">Organizations interested in applying for and administering public health grants from ODH must use the Grants Management Information System </w:t>
      </w:r>
      <w:r w:rsidRPr="00166EA5">
        <w:rPr>
          <w:rFonts w:ascii="Arial" w:hAnsi="Arial" w:cs="Arial"/>
        </w:rPr>
        <w:t xml:space="preserve">GMIS </w:t>
      </w:r>
      <w:r w:rsidRPr="00B179B9">
        <w:rPr>
          <w:rFonts w:ascii="Arial" w:hAnsi="Arial" w:cs="Arial"/>
          <w:color w:val="000000"/>
        </w:rPr>
        <w:t>to submit grant applications. All subrecipients must submit applications in a complete and timely manner according to the applicable federal and state laws, regulations and the OGAPP manual in order to be considered an eligible applicant. Incomplete and/or late applications will result in the entire application not being considered for review.</w:t>
      </w:r>
    </w:p>
    <w:p w14:paraId="7E694A07" w14:textId="5E6AA67C" w:rsidR="00612E97" w:rsidRPr="00612E97" w:rsidRDefault="00612E97" w:rsidP="00612E97">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B0577E">
        <w:rPr>
          <w:rFonts w:ascii="Arial" w:hAnsi="Arial" w:cs="Arial"/>
          <w:i/>
        </w:rPr>
        <w:t>(Source: OGA</w:t>
      </w:r>
      <w:r w:rsidR="002822F6">
        <w:rPr>
          <w:rFonts w:ascii="Arial" w:hAnsi="Arial" w:cs="Arial"/>
          <w:i/>
        </w:rPr>
        <w:t>P</w:t>
      </w:r>
      <w:r w:rsidRPr="00B0577E">
        <w:rPr>
          <w:rFonts w:ascii="Arial" w:hAnsi="Arial" w:cs="Arial"/>
          <w:i/>
        </w:rPr>
        <w:t>P Manual</w:t>
      </w:r>
      <w:r>
        <w:rPr>
          <w:rFonts w:ascii="Arial" w:hAnsi="Arial" w:cs="Arial"/>
          <w:i/>
        </w:rPr>
        <w:t>, Updated December 2017</w:t>
      </w:r>
      <w:r w:rsidRPr="00B0577E">
        <w:rPr>
          <w:rFonts w:ascii="Arial" w:hAnsi="Arial" w:cs="Arial"/>
          <w:i/>
        </w:rPr>
        <w:t>)</w:t>
      </w:r>
    </w:p>
    <w:p w14:paraId="3A7977D9" w14:textId="77777777" w:rsidR="000A19FC" w:rsidRPr="00220BD0" w:rsidRDefault="00DD3AF7" w:rsidP="006672EA">
      <w:pPr>
        <w:pStyle w:val="Heading3"/>
        <w:jc w:val="both"/>
        <w:rPr>
          <w:rFonts w:cs="Arial"/>
          <w:sz w:val="24"/>
          <w:szCs w:val="24"/>
        </w:rPr>
      </w:pPr>
      <w:bookmarkStart w:id="69" w:name="_Toc188606080"/>
      <w:r w:rsidRPr="00220BD0">
        <w:rPr>
          <w:rFonts w:cs="Arial"/>
          <w:sz w:val="24"/>
          <w:szCs w:val="24"/>
        </w:rPr>
        <w:t xml:space="preserve">Audit Objectives </w:t>
      </w:r>
      <w:r w:rsidR="001F23FF" w:rsidRPr="00220BD0">
        <w:rPr>
          <w:rFonts w:cs="Arial"/>
          <w:sz w:val="24"/>
          <w:szCs w:val="24"/>
        </w:rPr>
        <w:t>and Control Testing</w:t>
      </w:r>
      <w:bookmarkEnd w:id="6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596DEFB" w:rsidR="008F7129" w:rsidRPr="00C745FF" w:rsidRDefault="008F7129" w:rsidP="008F7129">
      <w:pPr>
        <w:spacing w:after="240"/>
        <w:ind w:left="360" w:right="-20" w:hanging="360"/>
        <w:jc w:val="both"/>
        <w:rPr>
          <w:rFonts w:ascii="Arial" w:eastAsia="Arial" w:hAnsi="Arial" w:cs="Arial"/>
          <w:i/>
          <w:iCs/>
          <w:color w:val="002060"/>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00C745FF">
        <w:rPr>
          <w:rFonts w:ascii="Arial" w:eastAsia="Arial" w:hAnsi="Arial" w:cs="Arial"/>
        </w:rPr>
        <w:t xml:space="preserve"> </w:t>
      </w:r>
      <w:r w:rsidR="00C745FF" w:rsidRPr="00C745FF">
        <w:rPr>
          <w:rFonts w:ascii="Arial" w:eastAsia="Arial" w:hAnsi="Arial" w:cs="Arial"/>
        </w:rPr>
        <w:t xml:space="preserve">– </w:t>
      </w:r>
      <w:r w:rsidR="00C745FF" w:rsidRPr="00C745FF">
        <w:rPr>
          <w:rFonts w:ascii="Arial" w:eastAsia="Arial" w:hAnsi="Arial" w:cs="Arial"/>
          <w:i/>
          <w:iCs/>
          <w:color w:val="002060"/>
        </w:rPr>
        <w:t>Not Applicable at Local Level</w:t>
      </w:r>
    </w:p>
    <w:p w14:paraId="77E4A2E2" w14:textId="187F5D33"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70" w:name="_Toc18860608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w:t>
            </w:r>
            <w:r w:rsidRPr="00F00D94">
              <w:rPr>
                <w:rFonts w:ascii="Arial" w:hAnsi="Arial" w:cs="Arial"/>
                <w:sz w:val="20"/>
              </w:rPr>
              <w:lastRenderedPageBreak/>
              <w:t>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2B5DA3D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681DA8">
              <w:rPr>
                <w:rFonts w:ascii="Arial" w:hAnsi="Arial" w:cs="Arial"/>
                <w:i/>
                <w:sz w:val="20"/>
              </w:rPr>
              <w:t xml:space="preserve">– </w:t>
            </w:r>
            <w:r w:rsidR="00681DA8" w:rsidRPr="00681DA8">
              <w:rPr>
                <w:rFonts w:ascii="Arial" w:hAnsi="Arial" w:cs="Arial"/>
                <w:i/>
                <w:color w:val="002060"/>
                <w:sz w:val="20"/>
              </w:rPr>
              <w:t>Not Applicable</w:t>
            </w:r>
          </w:p>
          <w:p w14:paraId="14990077" w14:textId="18EF6F32"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681DA8">
              <w:rPr>
                <w:rFonts w:ascii="Arial" w:hAnsi="Arial" w:cs="Arial"/>
                <w:i/>
                <w:sz w:val="20"/>
              </w:rPr>
              <w:t xml:space="preserve"> – </w:t>
            </w:r>
            <w:r w:rsidR="00681DA8" w:rsidRPr="00681DA8">
              <w:rPr>
                <w:rFonts w:ascii="Arial" w:hAnsi="Arial" w:cs="Arial"/>
                <w:i/>
                <w:color w:val="002060"/>
                <w:sz w:val="20"/>
              </w:rPr>
              <w:t>Not Applicable</w:t>
            </w:r>
            <w:r w:rsidR="00681DA8">
              <w:rPr>
                <w:rFonts w:ascii="Arial" w:hAnsi="Arial" w:cs="Arial"/>
                <w:i/>
                <w:color w:val="002060"/>
                <w:sz w:val="20"/>
              </w:rPr>
              <w:t xml:space="preserve"> at Local Level</w:t>
            </w:r>
          </w:p>
          <w:p w14:paraId="4B15E24A" w14:textId="5B6AA435"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0BE8F808"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3C56E491" w14:textId="41966C44" w:rsidR="0063267C" w:rsidRPr="00F00D94" w:rsidRDefault="0063267C" w:rsidP="00455348">
            <w:pPr>
              <w:pBdr>
                <w:top w:val="single" w:sz="6" w:space="0" w:color="FFFFFF"/>
                <w:left w:val="single" w:sz="6" w:space="0" w:color="FFFFFF"/>
                <w:bottom w:val="single" w:sz="6" w:space="0" w:color="FFFFFF"/>
                <w:right w:val="single" w:sz="6" w:space="0" w:color="FFFFFF"/>
              </w:pBdr>
              <w:spacing w:after="240"/>
              <w:ind w:left="1440" w:hanging="720"/>
              <w:jc w:val="both"/>
              <w:rPr>
                <w:rFonts w:cs="Arial"/>
                <w:b/>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71" w:name="_Toc188606082"/>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5A6B530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41A3EF3C" w14:textId="681CD4B7" w:rsidR="005578EC" w:rsidRPr="006E46AD" w:rsidRDefault="005578EC" w:rsidP="00C96EF3">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C96EF3">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C96EF3">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C96EF3">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C96EF3">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2" w:name="_Toc442267698"/>
      <w:bookmarkStart w:id="73" w:name="_Toc188606083"/>
      <w:r w:rsidRPr="00220BD0">
        <w:rPr>
          <w:rFonts w:cs="Arial"/>
          <w:sz w:val="24"/>
        </w:rPr>
        <w:lastRenderedPageBreak/>
        <w:t xml:space="preserve">H.  PERIOD </w:t>
      </w:r>
      <w:r w:rsidR="00F12052" w:rsidRPr="00220BD0">
        <w:rPr>
          <w:rFonts w:cs="Arial"/>
          <w:sz w:val="24"/>
        </w:rPr>
        <w:t>OF PERFORMANCE</w:t>
      </w:r>
      <w:bookmarkEnd w:id="72"/>
      <w:bookmarkEnd w:id="73"/>
    </w:p>
    <w:p w14:paraId="07D5A30C" w14:textId="635B47C0" w:rsidR="007E5B12" w:rsidRPr="00220BD0" w:rsidRDefault="004655E0" w:rsidP="006672EA">
      <w:pPr>
        <w:pStyle w:val="Heading3"/>
        <w:jc w:val="both"/>
        <w:rPr>
          <w:rFonts w:cs="Arial"/>
          <w:sz w:val="24"/>
          <w:szCs w:val="24"/>
        </w:rPr>
      </w:pPr>
      <w:bookmarkStart w:id="74" w:name="_Toc188606084"/>
      <w:r w:rsidRPr="00220BD0">
        <w:rPr>
          <w:rFonts w:cs="Arial"/>
          <w:sz w:val="24"/>
          <w:szCs w:val="24"/>
        </w:rPr>
        <w:t xml:space="preserve">OMB </w:t>
      </w:r>
      <w:r w:rsidR="007E5B12" w:rsidRPr="00220BD0">
        <w:rPr>
          <w:rFonts w:cs="Arial"/>
          <w:sz w:val="24"/>
          <w:szCs w:val="24"/>
        </w:rPr>
        <w:t>Compliance Requirements</w:t>
      </w:r>
      <w:bookmarkEnd w:id="74"/>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F6A50CB" w14:textId="61C9ACE7" w:rsidR="00F513EA" w:rsidRPr="00F513EA" w:rsidRDefault="00F513EA" w:rsidP="00FE30FC">
      <w:pPr>
        <w:pStyle w:val="ListParagraph"/>
        <w:tabs>
          <w:tab w:val="right" w:leader="dot" w:pos="9360"/>
        </w:tabs>
        <w:spacing w:after="240"/>
        <w:ind w:left="0"/>
        <w:jc w:val="both"/>
        <w:rPr>
          <w:rFonts w:ascii="Arial" w:hAnsi="Arial" w:cs="Arial"/>
          <w:bCs/>
          <w:i/>
          <w:iCs/>
          <w:color w:val="002060"/>
        </w:rPr>
      </w:pPr>
      <w:r w:rsidRPr="00F513EA">
        <w:rPr>
          <w:rFonts w:ascii="Arial" w:hAnsi="Arial" w:cs="Arial"/>
          <w:bCs/>
          <w:i/>
          <w:iCs/>
          <w:color w:val="002060"/>
        </w:rPr>
        <w:t>The following requirements only apply at State level:</w:t>
      </w:r>
    </w:p>
    <w:p w14:paraId="1DD73BE7" w14:textId="019DD7BE" w:rsidR="00007CDE" w:rsidRPr="00007CDE" w:rsidRDefault="00007CDE" w:rsidP="00007CDE">
      <w:pPr>
        <w:pStyle w:val="ListParagraph"/>
        <w:numPr>
          <w:ilvl w:val="0"/>
          <w:numId w:val="78"/>
        </w:numPr>
        <w:tabs>
          <w:tab w:val="right" w:leader="dot" w:pos="9360"/>
        </w:tabs>
        <w:spacing w:after="240"/>
        <w:jc w:val="both"/>
        <w:rPr>
          <w:rFonts w:ascii="Arial" w:hAnsi="Arial" w:cs="Arial"/>
          <w:bCs/>
          <w:iCs/>
        </w:rPr>
      </w:pPr>
      <w:r w:rsidRPr="00007CDE">
        <w:rPr>
          <w:rFonts w:ascii="Arial" w:hAnsi="Arial" w:cs="Arial"/>
          <w:bCs/>
          <w:i/>
        </w:rPr>
        <w:t>Spend-Forward Option</w:t>
      </w:r>
      <w:r w:rsidRPr="00007CDE">
        <w:rPr>
          <w:rFonts w:ascii="Arial" w:hAnsi="Arial" w:cs="Arial"/>
          <w:bCs/>
          <w:iCs/>
        </w:rPr>
        <w:t xml:space="preserve"> – A state agency may spend NSA funds up to an amount equal to 3 percent of its total WIC formula grant for NSA costs of the following federal fiscal year. With prior approval from its FNS regional office, the state agency may also spend NSA funds, in an amount that does not exceed one-half of 1 percent of its total WIC formula grant, for management information systems development costs during the following federal fiscal year. Food funds may not be “spent forward” (42 USC 1786(i)(3)(A)(ii)(I); 7 CFR section 246.16(b)(3)(ii)).</w:t>
      </w:r>
    </w:p>
    <w:p w14:paraId="5EA768C7" w14:textId="21D626F9" w:rsidR="00007CDE" w:rsidRPr="00007CDE" w:rsidRDefault="00007CDE" w:rsidP="00007CDE">
      <w:pPr>
        <w:pStyle w:val="ListParagraph"/>
        <w:numPr>
          <w:ilvl w:val="0"/>
          <w:numId w:val="78"/>
        </w:numPr>
        <w:tabs>
          <w:tab w:val="right" w:leader="dot" w:pos="9360"/>
        </w:tabs>
        <w:spacing w:after="240"/>
        <w:jc w:val="both"/>
        <w:rPr>
          <w:rFonts w:ascii="Arial" w:hAnsi="Arial" w:cs="Arial"/>
          <w:bCs/>
          <w:iCs/>
        </w:rPr>
      </w:pPr>
      <w:r w:rsidRPr="00007CDE">
        <w:rPr>
          <w:rFonts w:ascii="Arial" w:hAnsi="Arial" w:cs="Arial"/>
          <w:bCs/>
          <w:i/>
        </w:rPr>
        <w:t>Backspend Option</w:t>
      </w:r>
      <w:r w:rsidRPr="00007CDE">
        <w:rPr>
          <w:rFonts w:ascii="Arial" w:hAnsi="Arial" w:cs="Arial"/>
          <w:bCs/>
          <w:iCs/>
        </w:rPr>
        <w:t xml:space="preserve"> – A state agency may:</w:t>
      </w:r>
    </w:p>
    <w:p w14:paraId="54D979E7" w14:textId="3DBF3ACB" w:rsidR="00007CDE" w:rsidRPr="00007CDE" w:rsidRDefault="00007CDE" w:rsidP="00007CDE">
      <w:pPr>
        <w:pStyle w:val="ListParagraph"/>
        <w:numPr>
          <w:ilvl w:val="0"/>
          <w:numId w:val="79"/>
        </w:numPr>
        <w:tabs>
          <w:tab w:val="right" w:leader="dot" w:pos="9360"/>
        </w:tabs>
        <w:spacing w:after="240"/>
        <w:jc w:val="both"/>
        <w:rPr>
          <w:rFonts w:ascii="Arial" w:hAnsi="Arial" w:cs="Arial"/>
          <w:bCs/>
          <w:iCs/>
        </w:rPr>
      </w:pPr>
      <w:r w:rsidRPr="00007CDE">
        <w:rPr>
          <w:rFonts w:ascii="Arial" w:hAnsi="Arial" w:cs="Arial"/>
          <w:bCs/>
          <w:iCs/>
        </w:rPr>
        <w:t>Spend up to 1 percent of the food component of its grant for food costs of the federal fiscal year preceding the fiscal year for which the grant was awarded. This backspend authority may be raised as high as 3 percent with prior approval from FNS.</w:t>
      </w:r>
    </w:p>
    <w:p w14:paraId="58223D6C" w14:textId="2930F1DB" w:rsidR="00007CDE" w:rsidRPr="00007CDE" w:rsidRDefault="00007CDE" w:rsidP="00007CDE">
      <w:pPr>
        <w:pStyle w:val="ListParagraph"/>
        <w:numPr>
          <w:ilvl w:val="0"/>
          <w:numId w:val="79"/>
        </w:numPr>
        <w:tabs>
          <w:tab w:val="right" w:leader="dot" w:pos="9360"/>
        </w:tabs>
        <w:spacing w:after="240"/>
        <w:jc w:val="both"/>
        <w:rPr>
          <w:rFonts w:ascii="Arial" w:hAnsi="Arial" w:cs="Arial"/>
          <w:bCs/>
          <w:iCs/>
        </w:rPr>
      </w:pPr>
      <w:r w:rsidRPr="00007CDE">
        <w:rPr>
          <w:rFonts w:ascii="Arial" w:hAnsi="Arial" w:cs="Arial"/>
          <w:bCs/>
          <w:iCs/>
        </w:rPr>
        <w:t>Spend up to 1 percent of its NSA grant component for food and/or NSA costs of the federal fiscal year preceding the fiscal year for which the grant was awarded (7 CFR section 246.16(b)(3)(i)).</w:t>
      </w:r>
    </w:p>
    <w:p w14:paraId="6B10F8EA" w14:textId="45473753" w:rsidR="00434AE4" w:rsidRPr="00434AE4" w:rsidRDefault="00434AE4" w:rsidP="00434AE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620B48E1" w14:textId="77777777" w:rsidR="00FC7102" w:rsidRPr="00220BD0" w:rsidRDefault="00FC7102" w:rsidP="006672EA">
      <w:pPr>
        <w:pStyle w:val="Heading3"/>
        <w:jc w:val="both"/>
        <w:rPr>
          <w:rFonts w:cs="Arial"/>
          <w:sz w:val="24"/>
          <w:szCs w:val="24"/>
        </w:rPr>
      </w:pPr>
      <w:bookmarkStart w:id="75" w:name="_Toc188606085"/>
      <w:r w:rsidRPr="00220BD0">
        <w:rPr>
          <w:rFonts w:cs="Arial"/>
          <w:sz w:val="24"/>
          <w:szCs w:val="24"/>
        </w:rPr>
        <w:t>Additional Program Specific Information</w:t>
      </w:r>
      <w:bookmarkEnd w:id="7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1D7DE8F4" w:rsidR="00CD5DC7" w:rsidRPr="007C6D0F" w:rsidRDefault="00CD5DC7"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362E798" w14:textId="1F49933A" w:rsidR="006E46AD" w:rsidRPr="00AA5B05" w:rsidRDefault="006E46AD"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B0E81AD" w14:textId="77777777" w:rsidR="006550AB" w:rsidRDefault="006550AB" w:rsidP="006550AB">
      <w:pPr>
        <w:autoSpaceDE w:val="0"/>
        <w:autoSpaceDN w:val="0"/>
        <w:adjustRightInd w:val="0"/>
        <w:spacing w:after="240"/>
        <w:jc w:val="both"/>
        <w:rPr>
          <w:rFonts w:ascii="Arial" w:hAnsi="Arial" w:cs="Arial"/>
          <w:i/>
          <w:highlight w:val="cyan"/>
        </w:rPr>
      </w:pPr>
      <w:r w:rsidRPr="005B7A62">
        <w:rPr>
          <w:rFonts w:ascii="Arial" w:hAnsi="Arial" w:cs="Arial"/>
        </w:rPr>
        <w:t>This Solicitation pertains to budget period: 10/1/202</w:t>
      </w:r>
      <w:r>
        <w:rPr>
          <w:rFonts w:ascii="Arial" w:hAnsi="Arial" w:cs="Arial"/>
        </w:rPr>
        <w:t>3</w:t>
      </w:r>
      <w:r w:rsidRPr="005B7A62">
        <w:rPr>
          <w:rFonts w:ascii="Arial" w:hAnsi="Arial" w:cs="Arial"/>
        </w:rPr>
        <w:t xml:space="preserve"> through 9/30/202</w:t>
      </w:r>
      <w:r>
        <w:rPr>
          <w:rFonts w:ascii="Arial" w:hAnsi="Arial" w:cs="Arial"/>
        </w:rPr>
        <w:t>4</w:t>
      </w:r>
      <w:r w:rsidRPr="005B7A62">
        <w:rPr>
          <w:rFonts w:ascii="Arial" w:hAnsi="Arial" w:cs="Arial"/>
        </w:rPr>
        <w:t xml:space="preserve"> of the total pro</w:t>
      </w:r>
      <w:r>
        <w:rPr>
          <w:rFonts w:ascii="Arial" w:hAnsi="Arial" w:cs="Arial"/>
        </w:rPr>
        <w:t>gram</w:t>
      </w:r>
      <w:r w:rsidRPr="005B7A62">
        <w:rPr>
          <w:rFonts w:ascii="Arial" w:hAnsi="Arial" w:cs="Arial"/>
        </w:rPr>
        <w:t xml:space="preserve"> period, 10/1/20</w:t>
      </w:r>
      <w:r>
        <w:rPr>
          <w:rFonts w:ascii="Arial" w:hAnsi="Arial" w:cs="Arial"/>
        </w:rPr>
        <w:t>22</w:t>
      </w:r>
      <w:r w:rsidRPr="005B7A62">
        <w:rPr>
          <w:rFonts w:ascii="Arial" w:hAnsi="Arial" w:cs="Arial"/>
        </w:rPr>
        <w:t xml:space="preserve"> through 9/30/202</w:t>
      </w:r>
      <w:r>
        <w:rPr>
          <w:rFonts w:ascii="Arial" w:hAnsi="Arial" w:cs="Arial"/>
        </w:rPr>
        <w:t>7</w:t>
      </w:r>
      <w:r w:rsidRPr="005B7A62">
        <w:rPr>
          <w:rFonts w:ascii="Arial" w:hAnsi="Arial" w:cs="Arial"/>
        </w:rPr>
        <w:t xml:space="preserve">. </w:t>
      </w:r>
    </w:p>
    <w:p w14:paraId="2C92BE68" w14:textId="14C65534" w:rsidR="006550AB" w:rsidRPr="006550AB" w:rsidRDefault="006550AB" w:rsidP="006550AB">
      <w:pPr>
        <w:autoSpaceDE w:val="0"/>
        <w:autoSpaceDN w:val="0"/>
        <w:adjustRightInd w:val="0"/>
        <w:spacing w:after="240"/>
        <w:jc w:val="both"/>
        <w:rPr>
          <w:rFonts w:ascii="Arial" w:hAnsi="Arial" w:cs="Arial"/>
          <w:i/>
        </w:rPr>
      </w:pPr>
      <w:r w:rsidRPr="00EF03E5">
        <w:rPr>
          <w:rFonts w:ascii="Arial" w:hAnsi="Arial" w:cs="Arial"/>
          <w:i/>
        </w:rPr>
        <w:t>(</w:t>
      </w:r>
      <w:r>
        <w:rPr>
          <w:rFonts w:ascii="Arial" w:hAnsi="Arial" w:cs="Arial"/>
          <w:i/>
        </w:rPr>
        <w:t xml:space="preserve">Source: </w:t>
      </w:r>
      <w:hyperlink r:id="rId67" w:history="1">
        <w:r w:rsidRPr="00B71AFE">
          <w:rPr>
            <w:rStyle w:val="Hyperlink"/>
            <w:rFonts w:cs="Arial"/>
            <w:i/>
          </w:rPr>
          <w:t>Section I, Paragraphs A and J of the Solicitation for Special Supplemental Nutrition Program for Women, Infants and Children (WIC) Solicitation for Fiscal Year 2024</w:t>
        </w:r>
      </w:hyperlink>
      <w:r w:rsidRPr="00EF03E5">
        <w:rPr>
          <w:rFonts w:ascii="Arial" w:hAnsi="Arial" w:cs="Arial"/>
          <w:i/>
        </w:rPr>
        <w:t>)</w:t>
      </w:r>
    </w:p>
    <w:p w14:paraId="2CF1ACD8"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b/>
          <w:u w:val="single"/>
        </w:rPr>
        <w:t>Ohio Department of Health</w:t>
      </w:r>
      <w:r w:rsidRPr="00B179B9">
        <w:rPr>
          <w:rFonts w:ascii="Arial" w:hAnsi="Arial" w:cs="Arial"/>
          <w:b/>
        </w:rPr>
        <w:t>:</w:t>
      </w:r>
    </w:p>
    <w:p w14:paraId="4E809968"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t>A3.1 Outstanding Obligations</w:t>
      </w:r>
    </w:p>
    <w:p w14:paraId="368A1ACD"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t>An obligation is created when funds are encumbered on a valid purchase order or purchase requisition for an authorized item. Obligations must be created by the last day of the project period. Any funds not properly obligated by the subrecipient within the project period will lapse and revert to ODH. Obligations listed on the interim report (i.e., fourth quarter or 12th month expenditure report) must be liquidated within thirty - five (35) calendar days after the end of the project period.</w:t>
      </w:r>
    </w:p>
    <w:p w14:paraId="6B32F327"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b/>
          <w:bCs/>
        </w:rPr>
        <w:t>A3.5 Outstanding Cash Balance</w:t>
      </w:r>
    </w:p>
    <w:p w14:paraId="1CA7005A"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Any subrecipient with an outstanding cash balance owed to ODH will be subject to having continuation grant payments or payment of all grants withheld. In addition, any agency with outstanding balances owed to ODH, which are not satisfied within forty-five (45) days after the invoice date, will be certified to the Ohio AG’s Office for purposes of collection and will be automatically placed in a high risk status for future grants without first receiving written notification.</w:t>
      </w:r>
    </w:p>
    <w:p w14:paraId="4DC546CD" w14:textId="77777777" w:rsidR="007C6D0F" w:rsidRPr="00B179B9"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B179B9">
        <w:rPr>
          <w:rFonts w:ascii="Arial" w:hAnsi="Arial" w:cs="Arial"/>
        </w:rPr>
        <w:t>The following constitutes a debt owed to ODH:</w:t>
      </w:r>
    </w:p>
    <w:p w14:paraId="2439F29A" w14:textId="77777777" w:rsidR="007C6D0F" w:rsidRPr="00B179B9" w:rsidRDefault="007C6D0F" w:rsidP="00C96EF3">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project funds paid by ODH in excess of the amount to which the subrecipient is determined to be entitled, under the terms of the award;</w:t>
      </w:r>
    </w:p>
    <w:p w14:paraId="5E1CC666" w14:textId="77777777" w:rsidR="007C6D0F" w:rsidRPr="00B179B9" w:rsidRDefault="007C6D0F" w:rsidP="00C96EF3">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amounts due ODH as a result of the sale, transfer or salvage of program property, including patents and copyrights;</w:t>
      </w:r>
    </w:p>
    <w:p w14:paraId="10F429B3" w14:textId="77777777" w:rsidR="007C6D0F" w:rsidRPr="00B179B9" w:rsidRDefault="007C6D0F" w:rsidP="00C96EF3">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79B9">
        <w:rPr>
          <w:rFonts w:ascii="Arial" w:hAnsi="Arial" w:cs="Arial"/>
        </w:rPr>
        <w:t>Any other amounts determined by ODH or the federal government to be due to ODH under the terms of the award.</w:t>
      </w:r>
    </w:p>
    <w:p w14:paraId="01F0680F" w14:textId="77777777" w:rsidR="007C6D0F" w:rsidRPr="00B179B9" w:rsidRDefault="007C6D0F" w:rsidP="007C6D0F">
      <w:pPr>
        <w:spacing w:after="240"/>
        <w:jc w:val="both"/>
        <w:rPr>
          <w:rFonts w:ascii="Arial" w:hAnsi="Arial" w:cs="Arial"/>
          <w:b/>
          <w:bCs/>
        </w:rPr>
      </w:pPr>
      <w:r w:rsidRPr="00B179B9">
        <w:rPr>
          <w:rFonts w:ascii="Arial" w:hAnsi="Arial" w:cs="Arial"/>
          <w:b/>
          <w:bCs/>
        </w:rPr>
        <w:t>B2.9 – Obligations</w:t>
      </w:r>
    </w:p>
    <w:p w14:paraId="7ED4CB7B" w14:textId="77777777" w:rsidR="007C6D0F" w:rsidRPr="00B179B9" w:rsidRDefault="007C6D0F" w:rsidP="007C6D0F">
      <w:pPr>
        <w:spacing w:after="240"/>
        <w:jc w:val="both"/>
        <w:rPr>
          <w:rFonts w:ascii="Arial" w:hAnsi="Arial" w:cs="Arial"/>
        </w:rPr>
      </w:pPr>
      <w:r w:rsidRPr="00B179B9">
        <w:rPr>
          <w:rFonts w:ascii="Arial" w:hAnsi="Arial" w:cs="Arial"/>
        </w:rPr>
        <w:t xml:space="preserve">Outstanding Obligations can only be reported on the twelfth monthly or fourth quarterly expenditure report unless the subgrant program extends past 12 months. Outstanding obligations at the end of a fiscal year include accounts payable for authorized services and/or goods incurred during the funded fiscal year. This includes costs for employee services during the final pay period of a fiscal year or for equipment and supplies that have been ordered and delivered during the fiscal year and paid within the forty-five day liquidation period following the completion of the grant period. </w:t>
      </w:r>
    </w:p>
    <w:p w14:paraId="448F2B31" w14:textId="77777777" w:rsidR="007C6D0F" w:rsidRPr="00B179B9" w:rsidRDefault="007C6D0F" w:rsidP="007C6D0F">
      <w:pPr>
        <w:spacing w:after="240"/>
        <w:jc w:val="both"/>
        <w:rPr>
          <w:rFonts w:ascii="Arial" w:hAnsi="Arial" w:cs="Arial"/>
        </w:rPr>
      </w:pPr>
      <w:r w:rsidRPr="00B179B9">
        <w:rPr>
          <w:rFonts w:ascii="Arial" w:hAnsi="Arial" w:cs="Arial"/>
        </w:rPr>
        <w:t xml:space="preserve">The total amount of Outstanding Obligations listed on the twelfth month </w:t>
      </w:r>
      <w:r>
        <w:rPr>
          <w:rFonts w:ascii="Arial" w:hAnsi="Arial" w:cs="Arial"/>
        </w:rPr>
        <w:t xml:space="preserve">or </w:t>
      </w:r>
      <w:r w:rsidRPr="00B179B9">
        <w:rPr>
          <w:rFonts w:ascii="Arial" w:hAnsi="Arial" w:cs="Arial"/>
        </w:rPr>
        <w:t xml:space="preserve">fourth quarter expenditure report is the maximum amount that can be listed as current expenditures upon submission of the Final Expense </w:t>
      </w:r>
      <w:r w:rsidRPr="00B179B9">
        <w:rPr>
          <w:rFonts w:ascii="Arial" w:hAnsi="Arial" w:cs="Arial"/>
        </w:rPr>
        <w:lastRenderedPageBreak/>
        <w:t>Report. Any additional amounts of current expenditures or any additional outstanding obligations will not be accepted or paid with program funds.</w:t>
      </w:r>
    </w:p>
    <w:p w14:paraId="4378CACC" w14:textId="77777777" w:rsidR="007C6D0F" w:rsidRPr="00B179B9" w:rsidRDefault="007C6D0F" w:rsidP="007C6D0F">
      <w:pPr>
        <w:spacing w:after="240"/>
        <w:jc w:val="both"/>
        <w:rPr>
          <w:rFonts w:ascii="Arial" w:hAnsi="Arial" w:cs="Arial"/>
          <w:b/>
        </w:rPr>
      </w:pPr>
      <w:r w:rsidRPr="00B179B9">
        <w:rPr>
          <w:rFonts w:ascii="Arial" w:hAnsi="Arial" w:cs="Arial"/>
        </w:rPr>
        <w:t>ODH staff do not have the ability to disapprove monthly or quarterly expenditure reports that do not include obligations. Subrecipients who do not list all of their obligations on the twelfth month or fourth quarter report will be required to submit their general ledgers and invoices to support any additional costs listed on the final report that was not included in the obligations on the twelfth month or fourth quarter report.</w:t>
      </w:r>
    </w:p>
    <w:p w14:paraId="0C08BF57" w14:textId="77777777" w:rsidR="007C6D0F" w:rsidRPr="00B179B9" w:rsidRDefault="007C6D0F" w:rsidP="007C6D0F">
      <w:pPr>
        <w:autoSpaceDE w:val="0"/>
        <w:autoSpaceDN w:val="0"/>
        <w:adjustRightInd w:val="0"/>
        <w:spacing w:after="240"/>
        <w:jc w:val="both"/>
        <w:rPr>
          <w:rFonts w:ascii="Arial" w:hAnsi="Arial" w:cs="Arial"/>
          <w:b/>
          <w:bCs/>
        </w:rPr>
      </w:pPr>
      <w:r w:rsidRPr="00B179B9">
        <w:rPr>
          <w:rFonts w:ascii="Arial" w:hAnsi="Arial" w:cs="Arial"/>
          <w:b/>
          <w:bCs/>
        </w:rPr>
        <w:t>D2.3 Cash Balance</w:t>
      </w:r>
    </w:p>
    <w:p w14:paraId="46A12E2B"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The unobligated balance of grant funds at the end of the grant period (usually the fiscal year) is lapsed and lost to the project. Any cash balance at the end of the grant period must be returned to ODH within forty-five (45) days of the invoice date. </w:t>
      </w:r>
    </w:p>
    <w:p w14:paraId="3074FEFD" w14:textId="77777777" w:rsidR="007C6D0F" w:rsidRPr="00B179B9" w:rsidRDefault="007C6D0F" w:rsidP="007C6D0F">
      <w:pPr>
        <w:autoSpaceDE w:val="0"/>
        <w:autoSpaceDN w:val="0"/>
        <w:adjustRightInd w:val="0"/>
        <w:spacing w:after="240"/>
        <w:jc w:val="both"/>
        <w:rPr>
          <w:rFonts w:ascii="Arial" w:hAnsi="Arial" w:cs="Arial"/>
        </w:rPr>
      </w:pPr>
      <w:r w:rsidRPr="00B179B9">
        <w:rPr>
          <w:rFonts w:ascii="Arial" w:hAnsi="Arial" w:cs="Arial"/>
        </w:rPr>
        <w:t xml:space="preserve">A cash balance is the difference between funds received and allowable expenditures. An unobligated balance is the difference between the cash balance and outstanding obligations. When all outstanding obligations are liquidated and paid or canceled, the unobligated balance will equal the cash balance. </w:t>
      </w:r>
    </w:p>
    <w:p w14:paraId="136701CF" w14:textId="77777777" w:rsidR="007C6D0F" w:rsidRPr="00B179B9" w:rsidRDefault="007C6D0F" w:rsidP="007C6D0F">
      <w:pPr>
        <w:autoSpaceDE w:val="0"/>
        <w:autoSpaceDN w:val="0"/>
        <w:adjustRightInd w:val="0"/>
        <w:spacing w:after="240"/>
        <w:jc w:val="both"/>
        <w:rPr>
          <w:rFonts w:ascii="Arial" w:hAnsi="Arial" w:cs="Arial"/>
          <w:b/>
        </w:rPr>
      </w:pPr>
      <w:r w:rsidRPr="00B179B9">
        <w:rPr>
          <w:rFonts w:ascii="Arial" w:hAnsi="Arial" w:cs="Arial"/>
        </w:rPr>
        <w:t>Payments are based on actual expenses in order to minimize grant funds in the field. The same applies to the unobligated balance of project income when specified in the grant. The unobligated balance will increase when obligations are liquidated at a lower amount than estimated. The balance of funds realized after obligations are liquidated must be returned to ODH immediately with the submission of the final expenditure report.</w:t>
      </w:r>
    </w:p>
    <w:p w14:paraId="660550DB" w14:textId="025E9E2E" w:rsidR="007C6D0F" w:rsidRPr="007C6D0F" w:rsidRDefault="007C6D0F" w:rsidP="007C6D0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02BCB">
        <w:rPr>
          <w:rFonts w:ascii="Arial" w:hAnsi="Arial" w:cs="Arial"/>
          <w:i/>
        </w:rPr>
        <w:t>(Source: OGA</w:t>
      </w:r>
      <w:r w:rsidR="002822F6">
        <w:rPr>
          <w:rFonts w:ascii="Arial" w:hAnsi="Arial" w:cs="Arial"/>
          <w:i/>
        </w:rPr>
        <w:t>P</w:t>
      </w:r>
      <w:r w:rsidRPr="00002BCB">
        <w:rPr>
          <w:rFonts w:ascii="Arial" w:hAnsi="Arial" w:cs="Arial"/>
          <w:i/>
        </w:rPr>
        <w:t>P Manual, Updated December 2017)</w:t>
      </w:r>
    </w:p>
    <w:p w14:paraId="7A569597" w14:textId="77777777" w:rsidR="00C30DAB" w:rsidRPr="00220BD0" w:rsidRDefault="00205793" w:rsidP="006672EA">
      <w:pPr>
        <w:pStyle w:val="Heading3"/>
        <w:jc w:val="both"/>
        <w:rPr>
          <w:rFonts w:cs="Arial"/>
          <w:bCs/>
          <w:sz w:val="24"/>
          <w:szCs w:val="24"/>
        </w:rPr>
      </w:pPr>
      <w:bookmarkStart w:id="76" w:name="_Toc188606086"/>
      <w:r w:rsidRPr="00220BD0">
        <w:rPr>
          <w:rFonts w:cs="Arial"/>
          <w:sz w:val="24"/>
          <w:szCs w:val="24"/>
        </w:rPr>
        <w:t xml:space="preserve">Audit Objectives </w:t>
      </w:r>
      <w:r w:rsidR="00C30DAB" w:rsidRPr="00220BD0">
        <w:rPr>
          <w:rFonts w:cs="Arial"/>
          <w:sz w:val="24"/>
          <w:szCs w:val="24"/>
        </w:rPr>
        <w:t>and Control Testing</w:t>
      </w:r>
      <w:bookmarkEnd w:id="7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7" w:name="_Toc1886060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8" w:name="_Toc188606088"/>
      <w:r w:rsidRPr="00220BD0">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3B161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C96EF3">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C96EF3">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C96EF3">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C96EF3">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C96EF3">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9" w:name="_Toc442267699"/>
      <w:bookmarkStart w:id="80" w:name="_Toc188606089"/>
      <w:r w:rsidRPr="00220BD0">
        <w:rPr>
          <w:rFonts w:cs="Arial"/>
          <w:sz w:val="24"/>
        </w:rPr>
        <w:lastRenderedPageBreak/>
        <w:t>I.  PROCUREMENT AND SUSPENSION AND DEBARMENT</w:t>
      </w:r>
      <w:bookmarkEnd w:id="79"/>
      <w:bookmarkEnd w:id="80"/>
    </w:p>
    <w:p w14:paraId="1560ABE2" w14:textId="77777777" w:rsidR="00DC3468" w:rsidRPr="00220BD0" w:rsidRDefault="004655E0" w:rsidP="006672EA">
      <w:pPr>
        <w:pStyle w:val="Heading3"/>
        <w:jc w:val="both"/>
        <w:rPr>
          <w:rFonts w:cs="Arial"/>
          <w:sz w:val="24"/>
          <w:szCs w:val="24"/>
        </w:rPr>
      </w:pPr>
      <w:bookmarkStart w:id="81" w:name="_Toc188606090"/>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7348AA2"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0" w:history="1">
        <w:r w:rsidR="001A6B78" w:rsidRPr="0011623F">
          <w:rPr>
            <w:rStyle w:val="Hyperlink"/>
            <w:rFonts w:cs="Arial"/>
          </w:rPr>
          <w:t>IIJA</w:t>
        </w:r>
      </w:hyperlink>
      <w:r w:rsidRPr="0023424F">
        <w:rPr>
          <w:rFonts w:ascii="Arial" w:hAnsi="Arial" w:cs="Arial"/>
        </w:rPr>
        <w:t xml:space="preserve"> section 70912(4)-(5) and 70914, </w:t>
      </w:r>
      <w:hyperlink r:id="rId71" w:history="1">
        <w:r w:rsidRPr="0011623F">
          <w:rPr>
            <w:rStyle w:val="Hyperlink"/>
            <w:rFonts w:cs="Arial"/>
          </w:rPr>
          <w:t>2 CFR 184</w:t>
        </w:r>
      </w:hyperlink>
      <w:r w:rsidRPr="0023424F">
        <w:rPr>
          <w:rFonts w:ascii="Arial" w:hAnsi="Arial" w:cs="Arial"/>
        </w:rPr>
        <w:t xml:space="preserve">, and </w:t>
      </w:r>
      <w:hyperlink r:id="rId72"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C37BE11"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3"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4"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25B04B24"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5"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4588515D"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76" w:history="1">
        <w:r w:rsidR="00306F9F" w:rsidRPr="00F00D94">
          <w:rPr>
            <w:rStyle w:val="Hyperlink"/>
            <w:rFonts w:cs="Arial"/>
          </w:rPr>
          <w:t>03</w:t>
        </w:r>
      </w:hyperlink>
      <w:r w:rsidR="00306F9F" w:rsidRPr="00F00D94">
        <w:rPr>
          <w:rFonts w:ascii="Arial" w:hAnsi="Arial" w:cs="Arial"/>
        </w:rPr>
        <w:t xml:space="preserve">, </w:t>
      </w:r>
      <w:hyperlink r:id="rId77"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78"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79"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82" w:name="_Toc188606091"/>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82"/>
    </w:p>
    <w:p w14:paraId="6C168F41" w14:textId="2407FDDB"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0"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1" w:history="1">
        <w:r w:rsidR="000023A2" w:rsidRPr="00F00D94">
          <w:rPr>
            <w:rStyle w:val="Hyperlink"/>
            <w:rFonts w:cs="Arial"/>
          </w:rPr>
          <w:t>2 CFR 180.215</w:t>
        </w:r>
      </w:hyperlink>
      <w:r w:rsidRPr="00F00D94">
        <w:rPr>
          <w:rFonts w:ascii="Arial" w:hAnsi="Arial" w:cs="Arial"/>
        </w:rPr>
        <w:t>.</w:t>
      </w:r>
    </w:p>
    <w:p w14:paraId="3882B4B6" w14:textId="14C7F8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2"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3"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4" w:history="1">
        <w:r w:rsidR="000023A2" w:rsidRPr="00F00D94">
          <w:rPr>
            <w:rStyle w:val="Hyperlink"/>
            <w:rFonts w:cs="Arial"/>
          </w:rPr>
          <w:t>2 CFR 180.300</w:t>
        </w:r>
      </w:hyperlink>
      <w:r w:rsidRPr="00F00D94">
        <w:rPr>
          <w:rFonts w:ascii="Arial" w:hAnsi="Arial" w:cs="Arial"/>
        </w:rPr>
        <w:t xml:space="preserve">).  </w:t>
      </w:r>
    </w:p>
    <w:p w14:paraId="095B8CF4" w14:textId="1650BE5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5"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E2B1A4B"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86"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8AF41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87"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686C43C1"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88" w:history="1">
        <w:r w:rsidR="000023A2" w:rsidRPr="00F00D94">
          <w:rPr>
            <w:rStyle w:val="Hyperlink"/>
            <w:rFonts w:cs="Arial"/>
          </w:rPr>
          <w:t>48 CFR 9.405-2(b)</w:t>
        </w:r>
      </w:hyperlink>
      <w:r w:rsidR="006F1440" w:rsidRPr="00F00D94">
        <w:rPr>
          <w:rFonts w:ascii="Arial" w:hAnsi="Arial" w:cs="Arial"/>
        </w:rPr>
        <w:t xml:space="preserve"> and the clause at </w:t>
      </w:r>
      <w:hyperlink r:id="rId89"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D24E471" w14:textId="7AFC099F" w:rsidR="00007CDE" w:rsidRPr="00007CDE" w:rsidRDefault="00007CDE" w:rsidP="00007CDE">
      <w:pPr>
        <w:spacing w:after="240"/>
        <w:jc w:val="both"/>
        <w:rPr>
          <w:rFonts w:ascii="Arial" w:hAnsi="Arial" w:cs="Arial"/>
          <w:bCs/>
        </w:rPr>
      </w:pPr>
      <w:r w:rsidRPr="004B211F">
        <w:rPr>
          <w:rFonts w:ascii="Arial" w:hAnsi="Arial" w:cs="Arial"/>
          <w:bCs/>
        </w:rPr>
        <w:t>No Part 4 OMB Program Specific Requirements for this compliance requirement.</w:t>
      </w:r>
    </w:p>
    <w:p w14:paraId="5AFEB922" w14:textId="65AB067D" w:rsidR="00434AE4" w:rsidRPr="00434AE4" w:rsidRDefault="00434AE4" w:rsidP="00434AE4">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4</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83" w:name="_Toc188606092"/>
      <w:r w:rsidRPr="00220BD0">
        <w:rPr>
          <w:rFonts w:cs="Arial"/>
          <w:sz w:val="24"/>
          <w:szCs w:val="24"/>
        </w:rPr>
        <w:t>Additional Program Specific Information</w:t>
      </w:r>
      <w:bookmarkEnd w:id="8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57742DC1" w:rsidR="00CD5DC7" w:rsidRPr="00AA5B05" w:rsidRDefault="00CD5DC7"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C6D0F">
        <w:rPr>
          <w:rFonts w:ascii="Arial" w:hAnsi="Arial" w:cs="Arial"/>
          <w:b/>
          <w:highlight w:val="yellow"/>
        </w:rPr>
        <w:t xml:space="preserve"> and</w:t>
      </w:r>
    </w:p>
    <w:p w14:paraId="669A9E88" w14:textId="7D55D384" w:rsidR="006E46AD" w:rsidRPr="00AA5B05" w:rsidRDefault="006E46AD" w:rsidP="00C96EF3">
      <w:pPr>
        <w:pStyle w:val="ListParagraph"/>
        <w:numPr>
          <w:ilvl w:val="0"/>
          <w:numId w:val="39"/>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709387C"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u w:val="single"/>
        </w:rPr>
        <w:t>Ohio Department of Health</w:t>
      </w:r>
    </w:p>
    <w:p w14:paraId="67C8DCFD"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bCs/>
        </w:rPr>
        <w:t>B1.3 Federal Suspension and/or Debarment</w:t>
      </w:r>
    </w:p>
    <w:p w14:paraId="1FD2BDFD"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Organizations or individuals that are suspended or debarred cannot apply for or be paid from ODH grants during the period of the suspension or debarment. In the event that an agency is debarred, another entity from within the county, an adjoining county, or regional provider can compete for the program dollars. As a result, the entity awarded the grant, cannot contract and/or hire the debarred agency in any capacity. Any expenditure charged to an ODH grant for such individuals or agencies will be disallowed.</w:t>
      </w:r>
    </w:p>
    <w:p w14:paraId="72CF51D9"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 xml:space="preserve">Applicants are required to disclose to ODH if any of the following conditions apply to the agency or agency personnel: </w:t>
      </w:r>
    </w:p>
    <w:p w14:paraId="1683E1DA" w14:textId="77777777" w:rsidR="007C6D0F" w:rsidRPr="008F69BA" w:rsidRDefault="007C6D0F" w:rsidP="00C96EF3">
      <w:pPr>
        <w:pStyle w:val="ListParagraph"/>
        <w:numPr>
          <w:ilvl w:val="0"/>
          <w:numId w:val="65"/>
        </w:numPr>
        <w:spacing w:after="240"/>
        <w:jc w:val="both"/>
        <w:rPr>
          <w:rFonts w:ascii="Arial" w:hAnsi="Arial" w:cs="Arial"/>
        </w:rPr>
      </w:pPr>
      <w:r w:rsidRPr="008F69BA">
        <w:rPr>
          <w:rFonts w:ascii="Arial" w:hAnsi="Arial" w:cs="Arial"/>
        </w:rPr>
        <w:t>Applicant has been convicted of or had a civil judgment rendered against them within the three year period preceding the application for ODH funding for any of the following:</w:t>
      </w:r>
    </w:p>
    <w:p w14:paraId="5C7C30F3" w14:textId="77777777" w:rsidR="007C6D0F" w:rsidRPr="008F69BA" w:rsidRDefault="007C6D0F" w:rsidP="00C96EF3">
      <w:pPr>
        <w:pStyle w:val="ListParagraph"/>
        <w:numPr>
          <w:ilvl w:val="1"/>
          <w:numId w:val="65"/>
        </w:numPr>
        <w:spacing w:after="240"/>
        <w:jc w:val="both"/>
        <w:rPr>
          <w:rFonts w:ascii="Arial" w:hAnsi="Arial" w:cs="Arial"/>
        </w:rPr>
      </w:pPr>
      <w:r w:rsidRPr="008F69BA">
        <w:rPr>
          <w:rFonts w:ascii="Arial" w:hAnsi="Arial" w:cs="Arial"/>
        </w:rPr>
        <w:t>Fraud or a criminal offense in connection with obtaining, attempting to obtain, or performing a public transaction or contract under a public transaction;</w:t>
      </w:r>
    </w:p>
    <w:p w14:paraId="236EC26E" w14:textId="77777777" w:rsidR="007C6D0F" w:rsidRPr="008F69BA" w:rsidRDefault="007C6D0F" w:rsidP="00C96EF3">
      <w:pPr>
        <w:pStyle w:val="ListParagraph"/>
        <w:numPr>
          <w:ilvl w:val="1"/>
          <w:numId w:val="65"/>
        </w:numPr>
        <w:spacing w:after="240"/>
        <w:jc w:val="both"/>
        <w:rPr>
          <w:rFonts w:ascii="Arial" w:hAnsi="Arial" w:cs="Arial"/>
        </w:rPr>
      </w:pPr>
      <w:r w:rsidRPr="008F69BA">
        <w:rPr>
          <w:rFonts w:ascii="Arial" w:hAnsi="Arial" w:cs="Arial"/>
        </w:rPr>
        <w:t>Violation of a federal or state antitrust statute;</w:t>
      </w:r>
    </w:p>
    <w:p w14:paraId="6B25BBDE" w14:textId="77777777" w:rsidR="007C6D0F" w:rsidRPr="008F69BA" w:rsidRDefault="007C6D0F" w:rsidP="00C96EF3">
      <w:pPr>
        <w:pStyle w:val="ListParagraph"/>
        <w:numPr>
          <w:ilvl w:val="1"/>
          <w:numId w:val="65"/>
        </w:numPr>
        <w:spacing w:after="240"/>
        <w:jc w:val="both"/>
        <w:rPr>
          <w:rFonts w:ascii="Arial" w:hAnsi="Arial" w:cs="Arial"/>
        </w:rPr>
      </w:pPr>
      <w:r w:rsidRPr="008F69BA">
        <w:rPr>
          <w:rFonts w:ascii="Arial" w:hAnsi="Arial" w:cs="Arial"/>
        </w:rPr>
        <w:t>Embezzlement, theft, forgery, bribery, falsification or destruction of records, or</w:t>
      </w:r>
    </w:p>
    <w:p w14:paraId="21A51F8C" w14:textId="77777777" w:rsidR="007C6D0F" w:rsidRPr="008F69BA" w:rsidRDefault="007C6D0F" w:rsidP="00C96EF3">
      <w:pPr>
        <w:pStyle w:val="ListParagraph"/>
        <w:numPr>
          <w:ilvl w:val="1"/>
          <w:numId w:val="65"/>
        </w:numPr>
        <w:spacing w:after="240"/>
        <w:jc w:val="both"/>
        <w:rPr>
          <w:rFonts w:ascii="Arial" w:hAnsi="Arial" w:cs="Arial"/>
        </w:rPr>
      </w:pPr>
      <w:r w:rsidRPr="008F69BA">
        <w:rPr>
          <w:rFonts w:ascii="Arial" w:hAnsi="Arial" w:cs="Arial"/>
        </w:rPr>
        <w:t>False statements or receipt of stolen property.</w:t>
      </w:r>
    </w:p>
    <w:p w14:paraId="56B806EA" w14:textId="77777777" w:rsidR="007C6D0F" w:rsidRPr="008F69BA" w:rsidRDefault="007C6D0F" w:rsidP="00C96EF3">
      <w:pPr>
        <w:pStyle w:val="ListParagraph"/>
        <w:numPr>
          <w:ilvl w:val="0"/>
          <w:numId w:val="65"/>
        </w:numPr>
        <w:spacing w:after="240"/>
        <w:jc w:val="both"/>
        <w:rPr>
          <w:rFonts w:ascii="Arial" w:hAnsi="Arial" w:cs="Arial"/>
        </w:rPr>
      </w:pPr>
      <w:r w:rsidRPr="008F69BA">
        <w:rPr>
          <w:rFonts w:ascii="Arial" w:hAnsi="Arial" w:cs="Arial"/>
        </w:rPr>
        <w:t>Applicant is presently indicted or otherwise criminally or civilly charged by a governmental entity (federal, state, or local) with the commission of any of the offenses enumerated above.</w:t>
      </w:r>
    </w:p>
    <w:p w14:paraId="6CEE1CAA" w14:textId="77777777" w:rsidR="007C6D0F" w:rsidRPr="008F69BA" w:rsidRDefault="007C6D0F" w:rsidP="00C96EF3">
      <w:pPr>
        <w:pStyle w:val="ListParagraph"/>
        <w:numPr>
          <w:ilvl w:val="0"/>
          <w:numId w:val="65"/>
        </w:num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sidRPr="008F69BA">
        <w:rPr>
          <w:rFonts w:ascii="Arial" w:hAnsi="Arial" w:cs="Arial"/>
        </w:rPr>
        <w:t>Applicant has had any public transaction (federal, state or local) terminated for cause or default within the three-year period preceding the application for ODH funding.</w:t>
      </w:r>
    </w:p>
    <w:p w14:paraId="05CEA7EA" w14:textId="77777777" w:rsidR="007C6D0F" w:rsidRPr="008F69BA" w:rsidRDefault="007C6D0F" w:rsidP="007C6D0F">
      <w:pPr>
        <w:autoSpaceDE w:val="0"/>
        <w:autoSpaceDN w:val="0"/>
        <w:adjustRightInd w:val="0"/>
        <w:spacing w:after="240"/>
        <w:jc w:val="both"/>
        <w:rPr>
          <w:rFonts w:ascii="Arial" w:hAnsi="Arial" w:cs="Arial"/>
          <w:b/>
          <w:bCs/>
        </w:rPr>
      </w:pPr>
      <w:r w:rsidRPr="008F69BA">
        <w:rPr>
          <w:rFonts w:ascii="Arial" w:hAnsi="Arial" w:cs="Arial"/>
          <w:b/>
          <w:bCs/>
        </w:rPr>
        <w:lastRenderedPageBreak/>
        <w:t>C2.2 Procurement Standards</w:t>
      </w:r>
    </w:p>
    <w:p w14:paraId="640C5CC0"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Procurement is the purchase of merchandise or services at the optimum total cost in the correct amount and quality. These goods and services must be purchased at the correct time and location for the express gain or use of the project within the designated period. This process not only involves the purchasing of commodities but also quality and quantity checks.</w:t>
      </w:r>
    </w:p>
    <w:p w14:paraId="494F1A0D"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Subrecipients may use their own procurement policies when using project funds for the procurement of equipment, supplies, and services provided they are made in accordance with the standards in this section and the applicable CFR.</w:t>
      </w:r>
    </w:p>
    <w:p w14:paraId="7AA73890"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subrecipient is responsible for any contract it enters into on behalf of the grant-supported project.</w:t>
      </w:r>
    </w:p>
    <w:p w14:paraId="7C31F654"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Neither ODH nor the Federal Government assumes any liability arising from contracts, agreements, or obligations entered into by the subrecipient.</w:t>
      </w:r>
    </w:p>
    <w:p w14:paraId="23C3E4D6"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 xml:space="preserve">When procuring for project activities, the subrecipient shall maintain a code or standard of conduct for its officers, employees, or agents that shall include provisions for disciplinary actions for its violation. </w:t>
      </w:r>
    </w:p>
    <w:p w14:paraId="2D2EA402"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For governmental subrecipients, such disciplinary actions are required only to the extent otherwise permissible under the government's laws, rules, or regulations and shall provide for action to be taken against contractors or their agents when they violate the code or standard.</w:t>
      </w:r>
    </w:p>
    <w:p w14:paraId="7156B864"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Subrecipient officers, employees, or agents shall neither solicit nor accept gratuities, favors or anything of monetary value from ODH contractors or potential contractors. This is not intended to preclude legitimate institutional fund-raising activities.</w:t>
      </w:r>
    </w:p>
    <w:p w14:paraId="26ECC21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No employee, officer, or agent of a subrecipient shall participate in the selection, grant, or administration of a contract subject to this section where any of the following has a financial interest in that contract:</w:t>
      </w:r>
    </w:p>
    <w:p w14:paraId="63DF16F7" w14:textId="77777777" w:rsidR="007C6D0F" w:rsidRPr="008F69BA" w:rsidRDefault="007C6D0F" w:rsidP="00C96EF3">
      <w:pPr>
        <w:pStyle w:val="ListParagraph"/>
        <w:numPr>
          <w:ilvl w:val="0"/>
          <w:numId w:val="66"/>
        </w:numPr>
        <w:spacing w:after="240"/>
        <w:jc w:val="both"/>
        <w:rPr>
          <w:rFonts w:ascii="Arial" w:hAnsi="Arial" w:cs="Arial"/>
        </w:rPr>
      </w:pPr>
      <w:r w:rsidRPr="008F69BA">
        <w:rPr>
          <w:rFonts w:ascii="Arial" w:hAnsi="Arial" w:cs="Arial"/>
        </w:rPr>
        <w:t>The employee, officer or agent</w:t>
      </w:r>
    </w:p>
    <w:p w14:paraId="0080F26D" w14:textId="77777777" w:rsidR="007C6D0F" w:rsidRPr="008F69BA" w:rsidRDefault="007C6D0F" w:rsidP="00C96EF3">
      <w:pPr>
        <w:pStyle w:val="ListParagraph"/>
        <w:numPr>
          <w:ilvl w:val="0"/>
          <w:numId w:val="66"/>
        </w:numPr>
        <w:spacing w:after="240"/>
        <w:jc w:val="both"/>
        <w:rPr>
          <w:rFonts w:ascii="Arial" w:hAnsi="Arial" w:cs="Arial"/>
        </w:rPr>
      </w:pPr>
      <w:r w:rsidRPr="008F69BA">
        <w:rPr>
          <w:rFonts w:ascii="Arial" w:hAnsi="Arial" w:cs="Arial"/>
        </w:rPr>
        <w:t>Any member of his or her immediate family</w:t>
      </w:r>
    </w:p>
    <w:p w14:paraId="6DE0FA44" w14:textId="77777777" w:rsidR="007C6D0F" w:rsidRPr="008F69BA" w:rsidRDefault="007C6D0F" w:rsidP="00C96EF3">
      <w:pPr>
        <w:pStyle w:val="ListParagraph"/>
        <w:numPr>
          <w:ilvl w:val="0"/>
          <w:numId w:val="66"/>
        </w:numPr>
        <w:spacing w:after="240"/>
        <w:jc w:val="both"/>
        <w:rPr>
          <w:rFonts w:ascii="Arial" w:hAnsi="Arial" w:cs="Arial"/>
        </w:rPr>
      </w:pPr>
      <w:r w:rsidRPr="008F69BA">
        <w:rPr>
          <w:rFonts w:ascii="Arial" w:hAnsi="Arial" w:cs="Arial"/>
        </w:rPr>
        <w:t>His or her partner</w:t>
      </w:r>
    </w:p>
    <w:p w14:paraId="6AEDE528" w14:textId="77777777" w:rsidR="007C6D0F" w:rsidRPr="008F69BA" w:rsidRDefault="007C6D0F" w:rsidP="00C96EF3">
      <w:pPr>
        <w:pStyle w:val="ListParagraph"/>
        <w:numPr>
          <w:ilvl w:val="0"/>
          <w:numId w:val="66"/>
        </w:numPr>
        <w:spacing w:after="240"/>
        <w:jc w:val="both"/>
        <w:rPr>
          <w:rFonts w:ascii="Arial" w:hAnsi="Arial" w:cs="Arial"/>
        </w:rPr>
      </w:pPr>
      <w:r w:rsidRPr="008F69BA">
        <w:rPr>
          <w:rFonts w:ascii="Arial" w:hAnsi="Arial" w:cs="Arial"/>
        </w:rPr>
        <w:t>An organization in which any of the above individuals are an officer, director, or employee</w:t>
      </w:r>
    </w:p>
    <w:p w14:paraId="437D2ED6" w14:textId="77777777" w:rsidR="007C6D0F" w:rsidRPr="008F69BA" w:rsidRDefault="007C6D0F" w:rsidP="00C96EF3">
      <w:pPr>
        <w:pStyle w:val="ListParagraph"/>
        <w:numPr>
          <w:ilvl w:val="0"/>
          <w:numId w:val="66"/>
        </w:numPr>
        <w:pBdr>
          <w:top w:val="single" w:sz="6" w:space="0" w:color="FFFFFF"/>
          <w:left w:val="single" w:sz="6" w:space="21" w:color="FFFFFF"/>
          <w:bottom w:val="single" w:sz="6" w:space="0" w:color="FFFFFF"/>
          <w:right w:val="single" w:sz="6" w:space="0" w:color="FFFFFF"/>
        </w:pBdr>
        <w:spacing w:after="240"/>
        <w:jc w:val="both"/>
        <w:rPr>
          <w:rFonts w:ascii="Arial" w:hAnsi="Arial" w:cs="Arial"/>
          <w:b/>
        </w:rPr>
      </w:pPr>
      <w:r w:rsidRPr="008F69BA">
        <w:rPr>
          <w:rFonts w:ascii="Arial" w:hAnsi="Arial" w:cs="Arial"/>
        </w:rPr>
        <w:t>A person or organization with whom any of the above individuals is negotiating or has any arrangement concerning prospective employment</w:t>
      </w:r>
      <w:r>
        <w:rPr>
          <w:rFonts w:ascii="Arial" w:hAnsi="Arial" w:cs="Arial"/>
        </w:rPr>
        <w:t>.</w:t>
      </w:r>
    </w:p>
    <w:p w14:paraId="347A9299"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subrecipient should be alert to organizational conflicts of interests or noncompetitive practices among contractors that may restrict or eliminate competition or otherwise restrain trade. All procurement transactions shall be conducted in a manner that provides open and free competition to the maximum extent practicable.</w:t>
      </w:r>
    </w:p>
    <w:p w14:paraId="5D56BCA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The Department of Administrative Services (DAS) establishes State Term Schedules with vendors for various supplies and services. Political subdivisions, state universities, vocational schools, community colleges, and other institutions, as defined in Section 125.04(B) of the Ohio Revised Code may use a state term schedule contract. For those agencies that do not have authority to use the STS contracts, but may have a similar practice available within the agency; must thoroughly document such practice in an agency policy.</w:t>
      </w:r>
    </w:p>
    <w:p w14:paraId="6390B1BA" w14:textId="77777777" w:rsidR="007C6D0F" w:rsidRPr="008F69BA" w:rsidRDefault="007C6D0F" w:rsidP="007C6D0F">
      <w:pPr>
        <w:autoSpaceDE w:val="0"/>
        <w:autoSpaceDN w:val="0"/>
        <w:adjustRightInd w:val="0"/>
        <w:spacing w:after="240"/>
        <w:jc w:val="both"/>
        <w:rPr>
          <w:rFonts w:ascii="Arial" w:hAnsi="Arial" w:cs="Arial"/>
        </w:rPr>
      </w:pPr>
      <w:r w:rsidRPr="008F69BA">
        <w:rPr>
          <w:rFonts w:ascii="Arial" w:hAnsi="Arial" w:cs="Arial"/>
        </w:rPr>
        <w:t xml:space="preserve">Solicitations by the subrecipient shall clearly set forth all requirements that the bidder must fulfill in order for the bid to be evaluated. Bids and offers made by vendors for contracts in response to the subrecipient's </w:t>
      </w:r>
      <w:r w:rsidRPr="008F69BA">
        <w:rPr>
          <w:rFonts w:ascii="Arial" w:hAnsi="Arial" w:cs="Arial"/>
        </w:rPr>
        <w:lastRenderedPageBreak/>
        <w:t xml:space="preserve">solicitation must be evaluated based on the lowest bid or offer that provides the most adequate quality of goods or services, which will ensure optimal utilization of grant funds per unit value. Factors such as discounts, transportation costs, and taxes should be considered in determining the lowest bid. Any bid may be rejected when it is in the project's interest to do so, and, in the case of governmental subrecipients, such rejections are in accordance with applicable rules, laws or regulations. </w:t>
      </w:r>
    </w:p>
    <w:p w14:paraId="40FF22F5"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rPr>
        <w:t>The subrecipient shall establish procurement procedures that provide for the following</w:t>
      </w:r>
      <w:r w:rsidRPr="008F69BA">
        <w:rPr>
          <w:rFonts w:ascii="Arial" w:hAnsi="Arial" w:cs="Arial"/>
          <w:b/>
          <w:bCs/>
        </w:rPr>
        <w:t>:</w:t>
      </w:r>
    </w:p>
    <w:p w14:paraId="16ECEA8C" w14:textId="77777777" w:rsidR="007C6D0F" w:rsidRPr="008F69BA" w:rsidRDefault="007C6D0F" w:rsidP="00C96EF3">
      <w:pPr>
        <w:pStyle w:val="ListParagraph"/>
        <w:numPr>
          <w:ilvl w:val="0"/>
          <w:numId w:val="67"/>
        </w:numPr>
        <w:spacing w:after="240"/>
        <w:jc w:val="both"/>
        <w:rPr>
          <w:rFonts w:ascii="Arial" w:hAnsi="Arial" w:cs="Arial"/>
          <w:color w:val="000000"/>
        </w:rPr>
      </w:pPr>
      <w:r w:rsidRPr="008F69BA">
        <w:rPr>
          <w:rFonts w:ascii="Arial" w:hAnsi="Arial" w:cs="Arial"/>
          <w:color w:val="000000"/>
        </w:rPr>
        <w:t>Assurances that preclude unnecessary duplication of purchases and/or contracts. The subrecipient shall analyze alternatives to the procurement (such as leasing) to determine the most economical and practical procurement. This analysis should be documented.</w:t>
      </w:r>
    </w:p>
    <w:p w14:paraId="19EEB2A9" w14:textId="77777777" w:rsidR="007C6D0F" w:rsidRPr="008F69BA" w:rsidRDefault="007C6D0F" w:rsidP="00C96EF3">
      <w:pPr>
        <w:pStyle w:val="ListParagraph"/>
        <w:numPr>
          <w:ilvl w:val="0"/>
          <w:numId w:val="67"/>
        </w:numPr>
        <w:spacing w:after="240"/>
        <w:jc w:val="both"/>
        <w:rPr>
          <w:rFonts w:ascii="Arial" w:hAnsi="Arial" w:cs="Arial"/>
          <w:color w:val="000000"/>
        </w:rPr>
      </w:pPr>
      <w:r w:rsidRPr="008F69BA">
        <w:rPr>
          <w:rFonts w:ascii="Arial" w:hAnsi="Arial" w:cs="Arial"/>
          <w:color w:val="000000"/>
        </w:rPr>
        <w:t>Solicitations for goods and services must be based on clear and accurate descriptions of the technical requirements for the material, product, or service to be procured. In competitive procurements, such descriptions shall not contain features, which unduly restrict competition.</w:t>
      </w:r>
    </w:p>
    <w:p w14:paraId="7548C0E7"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color w:val="000000"/>
        </w:rPr>
        <w:t xml:space="preserve">Preferences and opportunities in the procurement of goods and services shall be given to Indians, Indian organizations, and Indian-owned economic enterprises where applicable to Section 7 (b) of the Indian Self-determination and Education Assistance Act </w:t>
      </w:r>
      <w:r w:rsidRPr="008F69BA">
        <w:rPr>
          <w:rFonts w:ascii="Arial" w:hAnsi="Arial" w:cs="Arial"/>
        </w:rPr>
        <w:t>(25 U.S.C. 450e (b)).</w:t>
      </w:r>
    </w:p>
    <w:p w14:paraId="031D5103"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Positive efforts shall be made by procuring parties to utilize small business and minority-owned business sources of supplies and services.</w:t>
      </w:r>
    </w:p>
    <w:p w14:paraId="16B99392"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The type of procuring instruments used (e.g., fixed-price contracts, cost reimbursable contracts, purchase orders, incentive contracts) shall be determined by the subrecipient but must be appropriate for the particular procurement and for promoting the best interest of the project. The "cost-plus-a-percentage-of cost" method of contracting shall not be used.</w:t>
      </w:r>
    </w:p>
    <w:p w14:paraId="685EF359"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Contracts shall be made only with responsible contractors who possess the potential ability to perform successfully under the terms and conditions of a proposed procurement. Consideration shall be given to such matters as contractor integrity, record of past performance, financial and technical resources and accessibility to other necessary resources.</w:t>
      </w:r>
    </w:p>
    <w:p w14:paraId="1DAA8DBA"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Prior approval is needed from the Program administering the project in consultation with the ODH Chief Financial Officer when the aggregate expenditure is expected to be greater than or equal to $40,000, when a sole source contract is proposed, or when a non-governmental subrecipient proposes to grant a contract after seeking competition but only receiving one bid.</w:t>
      </w:r>
    </w:p>
    <w:p w14:paraId="330BDDBB"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Non-governmental subrecipients should make some form of price or cost analysis in connection with every negotiated procurement action. Price analysis may include the comparison of submitted price quotations, market prices, and similar indices, along with discounts. Cost analysis is done to determine reasonableness, allocability, and allowability.</w:t>
      </w:r>
    </w:p>
    <w:p w14:paraId="69461B82" w14:textId="77777777" w:rsidR="007C6D0F" w:rsidRPr="008F69BA" w:rsidRDefault="007C6D0F" w:rsidP="00C96EF3">
      <w:pPr>
        <w:pStyle w:val="ListParagraph"/>
        <w:numPr>
          <w:ilvl w:val="0"/>
          <w:numId w:val="67"/>
        </w:numPr>
        <w:spacing w:after="240"/>
        <w:jc w:val="both"/>
        <w:rPr>
          <w:rFonts w:ascii="Arial" w:hAnsi="Arial" w:cs="Arial"/>
        </w:rPr>
      </w:pPr>
      <w:r w:rsidRPr="008F69BA">
        <w:rPr>
          <w:rFonts w:ascii="Arial" w:hAnsi="Arial" w:cs="Arial"/>
        </w:rPr>
        <w:t>The subrecipient's records and files for purchases in excess of or equal to $40,000 shall include the basis for contractor selection; justification for lack of competition when competitive bids or offers are not obtained; and basis for grant cost or price.</w:t>
      </w:r>
    </w:p>
    <w:p w14:paraId="419A3C7E" w14:textId="77777777" w:rsidR="007C6D0F" w:rsidRPr="008F69BA" w:rsidRDefault="007C6D0F" w:rsidP="00C96EF3">
      <w:pPr>
        <w:pStyle w:val="ListParagraph"/>
        <w:numPr>
          <w:ilvl w:val="0"/>
          <w:numId w:val="67"/>
        </w:numPr>
        <w:pBdr>
          <w:top w:val="single" w:sz="6" w:space="0" w:color="FFFFFF"/>
          <w:left w:val="single" w:sz="6" w:space="21" w:color="FFFFFF"/>
          <w:bottom w:val="single" w:sz="6" w:space="0" w:color="FFFFFF"/>
          <w:right w:val="single" w:sz="6" w:space="0" w:color="FFFFFF"/>
        </w:pBdr>
        <w:spacing w:after="240"/>
        <w:jc w:val="both"/>
        <w:rPr>
          <w:rFonts w:ascii="Arial" w:hAnsi="Arial" w:cs="Arial"/>
          <w:b/>
        </w:rPr>
      </w:pPr>
      <w:r w:rsidRPr="008F69BA">
        <w:rPr>
          <w:rFonts w:ascii="Arial" w:hAnsi="Arial" w:cs="Arial"/>
        </w:rPr>
        <w:t>A system for contract administration shall be maintained to ensure contractor conformance with terms, conditions, and specifications of the contracts, and to ensure adequate and timely follow-up of all purchases.</w:t>
      </w:r>
    </w:p>
    <w:p w14:paraId="550F87B0" w14:textId="77777777" w:rsidR="007C6D0F" w:rsidRPr="008F69BA" w:rsidRDefault="007C6D0F" w:rsidP="007C6D0F">
      <w:pPr>
        <w:autoSpaceDE w:val="0"/>
        <w:autoSpaceDN w:val="0"/>
        <w:adjustRightInd w:val="0"/>
        <w:spacing w:after="240"/>
        <w:jc w:val="both"/>
        <w:rPr>
          <w:rFonts w:ascii="Arial" w:hAnsi="Arial" w:cs="Arial"/>
          <w:color w:val="000000"/>
        </w:rPr>
      </w:pPr>
      <w:r w:rsidRPr="008F69BA">
        <w:rPr>
          <w:rFonts w:ascii="Arial" w:hAnsi="Arial" w:cs="Arial"/>
          <w:color w:val="000000"/>
        </w:rPr>
        <w:t xml:space="preserve">Governmental subrecipients shall use formal advertising in making procurements whenever practicable or feasible. When formal advertising is not practicable or feasible, procurements may be negotiated with prior written approval from GSU, subject to the </w:t>
      </w:r>
      <w:r w:rsidRPr="008F69BA">
        <w:rPr>
          <w:rFonts w:ascii="Arial" w:hAnsi="Arial" w:cs="Arial"/>
        </w:rPr>
        <w:t>conditions of 45 CFR Part A, Appendix A</w:t>
      </w:r>
      <w:r>
        <w:rPr>
          <w:rFonts w:ascii="Arial" w:hAnsi="Arial" w:cs="Arial"/>
          <w:color w:val="000000"/>
        </w:rPr>
        <w:t xml:space="preserve">. </w:t>
      </w:r>
    </w:p>
    <w:p w14:paraId="4FD54394" w14:textId="77777777" w:rsidR="007C6D0F" w:rsidRPr="008F69BA" w:rsidRDefault="007C6D0F" w:rsidP="007C6D0F">
      <w:pPr>
        <w:autoSpaceDE w:val="0"/>
        <w:autoSpaceDN w:val="0"/>
        <w:adjustRightInd w:val="0"/>
        <w:spacing w:after="240"/>
        <w:jc w:val="both"/>
        <w:rPr>
          <w:rFonts w:ascii="Arial" w:hAnsi="Arial" w:cs="Arial"/>
          <w:b/>
        </w:rPr>
      </w:pPr>
      <w:r w:rsidRPr="008F69BA">
        <w:rPr>
          <w:rFonts w:ascii="Arial" w:hAnsi="Arial" w:cs="Arial"/>
          <w:color w:val="000000"/>
        </w:rPr>
        <w:lastRenderedPageBreak/>
        <w:t>Competition shall be obtained to the maximum extent practicable whether procuring by advertising or negotiation. All negotiated procurement in excess of $4,000, a government subrecipient shall have in its procurement files and records written justification for the use of the negotiation in lieu of advertising.</w:t>
      </w:r>
    </w:p>
    <w:p w14:paraId="1AD0B628" w14:textId="3D81CF8F" w:rsidR="007C6D0F" w:rsidRPr="007C6D0F" w:rsidRDefault="007C6D0F" w:rsidP="007C6D0F">
      <w:pPr>
        <w:pBdr>
          <w:top w:val="single" w:sz="6" w:space="0" w:color="FFFFFF"/>
          <w:left w:val="single" w:sz="6" w:space="21" w:color="FFFFFF"/>
          <w:bottom w:val="single" w:sz="6" w:space="0" w:color="FFFFFF"/>
          <w:right w:val="single" w:sz="6" w:space="0" w:color="FFFFFF"/>
        </w:pBdr>
        <w:spacing w:after="240"/>
        <w:jc w:val="both"/>
        <w:rPr>
          <w:rFonts w:ascii="Arial" w:hAnsi="Arial" w:cs="Arial"/>
          <w:i/>
        </w:rPr>
      </w:pPr>
      <w:r w:rsidRPr="008F69BA">
        <w:rPr>
          <w:rFonts w:ascii="Arial" w:hAnsi="Arial" w:cs="Arial"/>
          <w:i/>
        </w:rPr>
        <w:t>(Source: OGA</w:t>
      </w:r>
      <w:r w:rsidR="002822F6">
        <w:rPr>
          <w:rFonts w:ascii="Arial" w:hAnsi="Arial" w:cs="Arial"/>
          <w:i/>
        </w:rPr>
        <w:t>P</w:t>
      </w:r>
      <w:r w:rsidRPr="008F69BA">
        <w:rPr>
          <w:rFonts w:ascii="Arial" w:hAnsi="Arial" w:cs="Arial"/>
          <w:i/>
        </w:rPr>
        <w:t>P Manual, Updated December 2017)</w:t>
      </w:r>
    </w:p>
    <w:p w14:paraId="3D8CBD5C" w14:textId="77777777" w:rsidR="00220BEF" w:rsidRPr="00220BD0" w:rsidRDefault="009A7756" w:rsidP="006672EA">
      <w:pPr>
        <w:pStyle w:val="Heading3"/>
        <w:jc w:val="both"/>
        <w:rPr>
          <w:rFonts w:cs="Arial"/>
          <w:bCs/>
          <w:sz w:val="24"/>
          <w:szCs w:val="24"/>
        </w:rPr>
      </w:pPr>
      <w:bookmarkStart w:id="84" w:name="_Toc188606093"/>
      <w:r w:rsidRPr="00220BD0">
        <w:rPr>
          <w:rFonts w:cs="Arial"/>
          <w:sz w:val="24"/>
          <w:szCs w:val="24"/>
        </w:rPr>
        <w:t xml:space="preserve">Audit Objectives </w:t>
      </w:r>
      <w:r w:rsidR="00220BEF" w:rsidRPr="00220BD0">
        <w:rPr>
          <w:rFonts w:cs="Arial"/>
          <w:sz w:val="24"/>
          <w:szCs w:val="24"/>
        </w:rPr>
        <w:t>and Control Testing</w:t>
      </w:r>
      <w:bookmarkEnd w:id="8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C96EF3">
      <w:pPr>
        <w:pStyle w:val="ListParagraph"/>
        <w:numPr>
          <w:ilvl w:val="0"/>
          <w:numId w:val="26"/>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C96EF3">
      <w:pPr>
        <w:pStyle w:val="AuditProcedureHeading"/>
        <w:numPr>
          <w:ilvl w:val="0"/>
          <w:numId w:val="26"/>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C96EF3">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C96EF3">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C96EF3">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C96EF3">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C96EF3">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C96EF3">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C96EF3">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C96EF3">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C96EF3">
      <w:pPr>
        <w:pStyle w:val="AuditProcedureHeading"/>
        <w:numPr>
          <w:ilvl w:val="0"/>
          <w:numId w:val="26"/>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C96EF3">
      <w:pPr>
        <w:pStyle w:val="AuditProcedureHeading"/>
        <w:numPr>
          <w:ilvl w:val="1"/>
          <w:numId w:val="26"/>
        </w:numPr>
        <w:spacing w:after="240"/>
        <w:jc w:val="both"/>
        <w:rPr>
          <w:rFonts w:cs="Arial"/>
          <w:bCs/>
          <w:i/>
          <w:iCs/>
          <w:color w:val="002060"/>
          <w:szCs w:val="20"/>
        </w:rPr>
      </w:pPr>
      <w:r w:rsidRPr="005F1316">
        <w:rPr>
          <w:rFonts w:cs="Arial"/>
          <w:bCs/>
          <w:i/>
          <w:iCs/>
          <w:color w:val="002060"/>
          <w:szCs w:val="20"/>
        </w:rPr>
        <w:lastRenderedPageBreak/>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C96EF3">
      <w:pPr>
        <w:pStyle w:val="AuditProcedureHeading"/>
        <w:numPr>
          <w:ilvl w:val="1"/>
          <w:numId w:val="26"/>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C96EF3">
      <w:pPr>
        <w:pStyle w:val="ListParagraph"/>
        <w:numPr>
          <w:ilvl w:val="2"/>
          <w:numId w:val="26"/>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85" w:name="_Toc188606094"/>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lastRenderedPageBreak/>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6"/>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CBDC8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0" w:history="1">
              <w:r w:rsidR="000023A2" w:rsidRPr="00F00D94">
                <w:rPr>
                  <w:rStyle w:val="Hyperlink"/>
                  <w:rFonts w:cs="Arial"/>
                  <w:sz w:val="20"/>
                </w:rPr>
                <w:t>48 CFR 52.203-13</w:t>
              </w:r>
            </w:hyperlink>
            <w:r w:rsidRPr="00F00D94">
              <w:rPr>
                <w:rFonts w:ascii="Arial" w:hAnsi="Arial" w:cs="Arial"/>
                <w:sz w:val="20"/>
              </w:rPr>
              <w:t xml:space="preserve"> and </w:t>
            </w:r>
            <w:hyperlink r:id="rId91"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7D2F53C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2"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3"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13EA7C5E"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4" w:history="1">
              <w:r w:rsidR="00E52CC0" w:rsidRPr="00F00D94">
                <w:rPr>
                  <w:rStyle w:val="Hyperlink"/>
                  <w:rFonts w:cs="Arial"/>
                  <w:sz w:val="20"/>
                </w:rPr>
                <w:t>48 CFR 52.244-5</w:t>
              </w:r>
            </w:hyperlink>
            <w:r w:rsidR="00BF5750" w:rsidRPr="00F00D94">
              <w:rPr>
                <w:rFonts w:ascii="Arial" w:hAnsi="Arial" w:cs="Arial"/>
                <w:sz w:val="20"/>
              </w:rPr>
              <w:t>).</w:t>
            </w:r>
          </w:p>
          <w:p w14:paraId="02970176" w14:textId="30C3541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5" w:history="1">
              <w:r w:rsidR="00E52CC0" w:rsidRPr="00F00D94">
                <w:rPr>
                  <w:rStyle w:val="Hyperlink"/>
                  <w:rFonts w:cs="Arial"/>
                  <w:sz w:val="20"/>
                </w:rPr>
                <w:t>48 CFR 52.244-5</w:t>
              </w:r>
            </w:hyperlink>
            <w:r w:rsidRPr="00F00D94">
              <w:rPr>
                <w:rFonts w:ascii="Arial" w:hAnsi="Arial" w:cs="Arial"/>
                <w:sz w:val="20"/>
              </w:rPr>
              <w:t>).</w:t>
            </w:r>
          </w:p>
          <w:p w14:paraId="761FC7CF" w14:textId="79C1538F"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96"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1CB6422F"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97"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19235A0"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98" w:history="1">
              <w:r w:rsidR="00E52CC0" w:rsidRPr="00F00D94">
                <w:rPr>
                  <w:rStyle w:val="Hyperlink"/>
                  <w:rFonts w:cs="Arial"/>
                  <w:sz w:val="20"/>
                </w:rPr>
                <w:t>2 CFR 180.300</w:t>
              </w:r>
            </w:hyperlink>
            <w:r w:rsidRPr="00F00D94">
              <w:rPr>
                <w:rFonts w:ascii="Arial" w:hAnsi="Arial" w:cs="Arial"/>
                <w:sz w:val="20"/>
              </w:rPr>
              <w:t xml:space="preserve">; </w:t>
            </w:r>
            <w:hyperlink r:id="rId99"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87" w:name="_Toc188606095"/>
      <w:r w:rsidRPr="00220BD0">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80DB05F"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0"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C96EF3">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C96EF3">
            <w:pPr>
              <w:widowControl w:val="0"/>
              <w:numPr>
                <w:ilvl w:val="0"/>
                <w:numId w:val="23"/>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C96EF3">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C96EF3">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C96EF3">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1"/>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8" w:name="J___PROGRAM_INCOME"/>
      <w:bookmarkStart w:id="89" w:name="L___REPORTING"/>
      <w:bookmarkStart w:id="90" w:name="M___SUBRECIPIENT_MONITORING__"/>
      <w:bookmarkStart w:id="91" w:name="_Toc442267704"/>
      <w:bookmarkStart w:id="92" w:name="_Toc188606096"/>
      <w:bookmarkEnd w:id="88"/>
      <w:bookmarkEnd w:id="89"/>
      <w:bookmarkEnd w:id="90"/>
      <w:r w:rsidRPr="000706D1">
        <w:rPr>
          <w:rStyle w:val="PageNumber"/>
          <w:rFonts w:cs="Arial"/>
          <w:sz w:val="24"/>
        </w:rPr>
        <w:lastRenderedPageBreak/>
        <w:t>Program Testing Conclusion</w:t>
      </w:r>
      <w:bookmarkEnd w:id="91"/>
      <w:bookmarkEnd w:id="9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2" tgtFrame="&quot;content&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C96EF3">
      <w:pPr>
        <w:numPr>
          <w:ilvl w:val="0"/>
          <w:numId w:val="34"/>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C96EF3">
      <w:pPr>
        <w:numPr>
          <w:ilvl w:val="0"/>
          <w:numId w:val="34"/>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C96EF3">
      <w:pPr>
        <w:numPr>
          <w:ilvl w:val="0"/>
          <w:numId w:val="34"/>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C96EF3">
      <w:pPr>
        <w:numPr>
          <w:ilvl w:val="0"/>
          <w:numId w:val="34"/>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C96EF3">
      <w:pPr>
        <w:numPr>
          <w:ilvl w:val="0"/>
          <w:numId w:val="34"/>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C96EF3">
      <w:pPr>
        <w:numPr>
          <w:ilvl w:val="0"/>
          <w:numId w:val="34"/>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C96EF3">
      <w:pPr>
        <w:numPr>
          <w:ilvl w:val="0"/>
          <w:numId w:val="34"/>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C96EF3">
      <w:pPr>
        <w:numPr>
          <w:ilvl w:val="0"/>
          <w:numId w:val="34"/>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36C2340A" w:rsidR="00FA3EC3" w:rsidRPr="00F00D94" w:rsidRDefault="00FA3EC3" w:rsidP="006672EA">
      <w:pPr>
        <w:spacing w:after="240"/>
        <w:jc w:val="both"/>
        <w:rPr>
          <w:rFonts w:ascii="Arial" w:hAnsi="Arial" w:cs="Arial"/>
        </w:rPr>
      </w:pPr>
      <w:hyperlink r:id="rId10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59AFEF2C"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3" w:name="AICPAIGS:767.2670-1"/>
      <w:bookmarkEnd w:id="9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C96EF3">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96EF3">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96EF3">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8CBC56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7B083347" w:rsidR="000C7D0B" w:rsidRDefault="00B443E8">
    <w:pPr>
      <w:pBdr>
        <w:top w:val="single" w:sz="4" w:space="1" w:color="auto"/>
      </w:pBdr>
      <w:tabs>
        <w:tab w:val="center" w:pos="4680"/>
      </w:tabs>
      <w:spacing w:line="240" w:lineRule="exact"/>
      <w:rPr>
        <w:sz w:val="18"/>
      </w:rPr>
    </w:pPr>
    <w:r>
      <w:rPr>
        <w:sz w:val="18"/>
      </w:rPr>
      <w:t xml:space="preserve">2024 </w:t>
    </w:r>
    <w:r w:rsidR="007C17CD">
      <w:rPr>
        <w:sz w:val="18"/>
      </w:rPr>
      <w:t xml:space="preserve">UG </w:t>
    </w:r>
    <w:r w:rsidR="00743F85">
      <w:rPr>
        <w:sz w:val="18"/>
      </w:rPr>
      <w:t>FACCR #10.557 WIC</w:t>
    </w:r>
    <w:r w:rsidR="007C17CD">
      <w:rPr>
        <w:sz w:val="18"/>
      </w:rPr>
      <w:t xml:space="preserve"> PT ODH</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5C53C3"/>
    <w:multiLevelType w:val="hybridMultilevel"/>
    <w:tmpl w:val="0076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2408"/>
    <w:multiLevelType w:val="hybridMultilevel"/>
    <w:tmpl w:val="4996582E"/>
    <w:lvl w:ilvl="0" w:tplc="8AD0D9D0">
      <w:start w:val="1"/>
      <w:numFmt w:val="decimal"/>
      <w:lvlText w:val="%1."/>
      <w:lvlJc w:val="left"/>
      <w:pPr>
        <w:ind w:left="720" w:hanging="360"/>
      </w:pPr>
      <w:rPr>
        <w:rFonts w:hint="default"/>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F2064A"/>
    <w:multiLevelType w:val="hybridMultilevel"/>
    <w:tmpl w:val="0F0CA728"/>
    <w:lvl w:ilvl="0" w:tplc="1054A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9F525D4"/>
    <w:multiLevelType w:val="hybridMultilevel"/>
    <w:tmpl w:val="C6204CD8"/>
    <w:lvl w:ilvl="0" w:tplc="ED686490">
      <w:start w:val="1"/>
      <w:numFmt w:val="decimal"/>
      <w:lvlText w:val="(%1)"/>
      <w:lvlJc w:val="left"/>
      <w:pPr>
        <w:ind w:left="108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E40C5F"/>
    <w:multiLevelType w:val="hybridMultilevel"/>
    <w:tmpl w:val="FEC8C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E12756"/>
    <w:multiLevelType w:val="hybridMultilevel"/>
    <w:tmpl w:val="95DC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470B1"/>
    <w:multiLevelType w:val="hybridMultilevel"/>
    <w:tmpl w:val="05B8A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D73EA"/>
    <w:multiLevelType w:val="hybridMultilevel"/>
    <w:tmpl w:val="31DAECAC"/>
    <w:lvl w:ilvl="0" w:tplc="6E2C2DF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25DCE"/>
    <w:multiLevelType w:val="hybridMultilevel"/>
    <w:tmpl w:val="DAC44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56DF3"/>
    <w:multiLevelType w:val="hybridMultilevel"/>
    <w:tmpl w:val="AE7C7622"/>
    <w:lvl w:ilvl="0" w:tplc="FFFFFFFF">
      <w:start w:val="1"/>
      <w:numFmt w:val="decimal"/>
      <w:lvlText w:val="%1."/>
      <w:lvlJc w:val="left"/>
      <w:pPr>
        <w:ind w:left="360" w:hanging="360"/>
      </w:pPr>
      <w:rPr>
        <w:rFonts w:hint="default"/>
        <w:spacing w:val="-6"/>
        <w:w w:val="99"/>
        <w:sz w:val="20"/>
        <w:szCs w:val="20"/>
        <w:lang w:val="en-US" w:eastAsia="en-US" w:bidi="en-US"/>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FC02BF"/>
    <w:multiLevelType w:val="hybridMultilevel"/>
    <w:tmpl w:val="2094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2E2E62F3"/>
    <w:multiLevelType w:val="hybridMultilevel"/>
    <w:tmpl w:val="C888913C"/>
    <w:lvl w:ilvl="0" w:tplc="DC5E9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686232"/>
    <w:multiLevelType w:val="multilevel"/>
    <w:tmpl w:val="CA8C0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EC6F14"/>
    <w:multiLevelType w:val="hybridMultilevel"/>
    <w:tmpl w:val="B884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9" w15:restartNumberingAfterBreak="0">
    <w:nsid w:val="3FFF5339"/>
    <w:multiLevelType w:val="hybridMultilevel"/>
    <w:tmpl w:val="782CB94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8A1F9E"/>
    <w:multiLevelType w:val="hybridMultilevel"/>
    <w:tmpl w:val="5B008D30"/>
    <w:lvl w:ilvl="0" w:tplc="ED686490">
      <w:start w:val="1"/>
      <w:numFmt w:val="decimal"/>
      <w:lvlText w:val="(%1)"/>
      <w:lvlJc w:val="left"/>
      <w:pPr>
        <w:ind w:left="1440" w:hanging="360"/>
      </w:pPr>
      <w:rPr>
        <w:rFonts w:ascii="Arial" w:eastAsia="Arial" w:hAnsi="Arial" w:cs="Arial" w:hint="default"/>
        <w:spacing w:val="-6"/>
        <w:w w:val="99"/>
        <w:sz w:val="20"/>
        <w:szCs w:val="20"/>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0D7442D"/>
    <w:multiLevelType w:val="hybridMultilevel"/>
    <w:tmpl w:val="5EC4F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F5D9B"/>
    <w:multiLevelType w:val="hybridMultilevel"/>
    <w:tmpl w:val="5C908960"/>
    <w:lvl w:ilvl="0" w:tplc="BD5C17FC">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3" w15:restartNumberingAfterBreak="0">
    <w:nsid w:val="44966BA2"/>
    <w:multiLevelType w:val="hybridMultilevel"/>
    <w:tmpl w:val="96803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694A3B"/>
    <w:multiLevelType w:val="hybridMultilevel"/>
    <w:tmpl w:val="110673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9B35DB"/>
    <w:multiLevelType w:val="hybridMultilevel"/>
    <w:tmpl w:val="E668D60A"/>
    <w:lvl w:ilvl="0" w:tplc="EF8C8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7D73CC"/>
    <w:multiLevelType w:val="hybridMultilevel"/>
    <w:tmpl w:val="293684A6"/>
    <w:lvl w:ilvl="0" w:tplc="350A4E42">
      <w:start w:val="1"/>
      <w:numFmt w:val="decimal"/>
      <w:lvlText w:val="%1."/>
      <w:lvlJc w:val="left"/>
      <w:pPr>
        <w:ind w:left="360" w:hanging="360"/>
      </w:pPr>
      <w:rPr>
        <w:rFonts w:hint="default"/>
        <w:b/>
        <w:spacing w:val="-6"/>
        <w:w w:val="99"/>
        <w:sz w:val="20"/>
        <w:szCs w:val="20"/>
        <w:lang w:val="en-US" w:eastAsia="en-US" w:bidi="en-US"/>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0DD402BE">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D0B60FA"/>
    <w:multiLevelType w:val="hybridMultilevel"/>
    <w:tmpl w:val="1080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86F1C"/>
    <w:multiLevelType w:val="hybridMultilevel"/>
    <w:tmpl w:val="70364180"/>
    <w:lvl w:ilvl="0" w:tplc="516E68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6" w15:restartNumberingAfterBreak="0">
    <w:nsid w:val="532A36A7"/>
    <w:multiLevelType w:val="multilevel"/>
    <w:tmpl w:val="D9B23146"/>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8" w15:restartNumberingAfterBreak="0">
    <w:nsid w:val="55C2488F"/>
    <w:multiLevelType w:val="hybridMultilevel"/>
    <w:tmpl w:val="94701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FF29CA"/>
    <w:multiLevelType w:val="hybridMultilevel"/>
    <w:tmpl w:val="A4304C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B1D41A1"/>
    <w:multiLevelType w:val="hybridMultilevel"/>
    <w:tmpl w:val="B8845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487B48"/>
    <w:multiLevelType w:val="hybridMultilevel"/>
    <w:tmpl w:val="78E0BE00"/>
    <w:lvl w:ilvl="0" w:tplc="6E2C2DFC">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2C2ED0"/>
    <w:multiLevelType w:val="hybridMultilevel"/>
    <w:tmpl w:val="AE7C7622"/>
    <w:lvl w:ilvl="0" w:tplc="A8987FB4">
      <w:start w:val="1"/>
      <w:numFmt w:val="decimal"/>
      <w:lvlText w:val="%1."/>
      <w:lvlJc w:val="left"/>
      <w:pPr>
        <w:ind w:left="720" w:hanging="360"/>
      </w:pPr>
      <w:rPr>
        <w:rFonts w:hint="default"/>
        <w:spacing w:val="-6"/>
        <w:w w:val="99"/>
        <w:sz w:val="20"/>
        <w:szCs w:val="20"/>
        <w:lang w:val="en-US" w:eastAsia="en-US" w:bidi="en-US"/>
      </w:rPr>
    </w:lvl>
    <w:lvl w:ilvl="1" w:tplc="FFFFFFFF">
      <w:start w:val="1"/>
      <w:numFmt w:val="lowerLetter"/>
      <w:lvlText w:val="%2."/>
      <w:lvlJc w:val="left"/>
      <w:pPr>
        <w:ind w:left="1440" w:hanging="360"/>
      </w:pPr>
    </w:lvl>
    <w:lvl w:ilvl="2" w:tplc="3FFCF3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2E775C8"/>
    <w:multiLevelType w:val="hybridMultilevel"/>
    <w:tmpl w:val="4F3AF2A0"/>
    <w:lvl w:ilvl="0" w:tplc="6E2C2DF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86F2F48"/>
    <w:multiLevelType w:val="multilevel"/>
    <w:tmpl w:val="0FE06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1017AD"/>
    <w:multiLevelType w:val="hybridMultilevel"/>
    <w:tmpl w:val="1A58E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4376F9"/>
    <w:multiLevelType w:val="hybridMultilevel"/>
    <w:tmpl w:val="9DB6C31A"/>
    <w:lvl w:ilvl="0" w:tplc="341A282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84562"/>
    <w:multiLevelType w:val="hybridMultilevel"/>
    <w:tmpl w:val="122C60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5242D20"/>
    <w:multiLevelType w:val="hybridMultilevel"/>
    <w:tmpl w:val="CB8414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C3B35C3"/>
    <w:multiLevelType w:val="hybridMultilevel"/>
    <w:tmpl w:val="FB2A3ED8"/>
    <w:lvl w:ilvl="0" w:tplc="8AD0D9D0">
      <w:start w:val="1"/>
      <w:numFmt w:val="decimal"/>
      <w:lvlText w:val="%1."/>
      <w:lvlJc w:val="left"/>
      <w:pPr>
        <w:ind w:left="720" w:hanging="360"/>
      </w:pPr>
      <w:rPr>
        <w:rFonts w:hint="default"/>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EE02CD7"/>
    <w:multiLevelType w:val="hybridMultilevel"/>
    <w:tmpl w:val="BDD6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4"/>
  </w:num>
  <w:num w:numId="3" w16cid:durableId="845168209">
    <w:abstractNumId w:val="25"/>
  </w:num>
  <w:num w:numId="4" w16cid:durableId="495266702">
    <w:abstractNumId w:val="36"/>
  </w:num>
  <w:num w:numId="5" w16cid:durableId="1496074526">
    <w:abstractNumId w:val="69"/>
  </w:num>
  <w:num w:numId="6" w16cid:durableId="1894850701">
    <w:abstractNumId w:val="33"/>
  </w:num>
  <w:num w:numId="7" w16cid:durableId="1851287688">
    <w:abstractNumId w:val="80"/>
  </w:num>
  <w:num w:numId="8" w16cid:durableId="169563015">
    <w:abstractNumId w:val="66"/>
  </w:num>
  <w:num w:numId="9" w16cid:durableId="829565744">
    <w:abstractNumId w:val="23"/>
  </w:num>
  <w:num w:numId="10" w16cid:durableId="1649020827">
    <w:abstractNumId w:val="3"/>
  </w:num>
  <w:num w:numId="11" w16cid:durableId="404687173">
    <w:abstractNumId w:val="20"/>
  </w:num>
  <w:num w:numId="12" w16cid:durableId="812450053">
    <w:abstractNumId w:val="77"/>
  </w:num>
  <w:num w:numId="13" w16cid:durableId="208225967">
    <w:abstractNumId w:val="55"/>
  </w:num>
  <w:num w:numId="14" w16cid:durableId="1448885931">
    <w:abstractNumId w:val="48"/>
  </w:num>
  <w:num w:numId="15" w16cid:durableId="431709311">
    <w:abstractNumId w:val="37"/>
  </w:num>
  <w:num w:numId="16"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7"/>
  </w:num>
  <w:num w:numId="19" w16cid:durableId="1726903200">
    <w:abstractNumId w:val="18"/>
  </w:num>
  <w:num w:numId="20" w16cid:durableId="884410781">
    <w:abstractNumId w:val="9"/>
  </w:num>
  <w:num w:numId="21" w16cid:durableId="810370577">
    <w:abstractNumId w:val="52"/>
  </w:num>
  <w:num w:numId="22" w16cid:durableId="554588920">
    <w:abstractNumId w:val="71"/>
  </w:num>
  <w:num w:numId="23" w16cid:durableId="2056466201">
    <w:abstractNumId w:val="24"/>
  </w:num>
  <w:num w:numId="24" w16cid:durableId="1478910963">
    <w:abstractNumId w:val="73"/>
  </w:num>
  <w:num w:numId="25" w16cid:durableId="1939830332">
    <w:abstractNumId w:val="19"/>
  </w:num>
  <w:num w:numId="26" w16cid:durableId="516505364">
    <w:abstractNumId w:val="59"/>
  </w:num>
  <w:num w:numId="27" w16cid:durableId="710107432">
    <w:abstractNumId w:val="45"/>
  </w:num>
  <w:num w:numId="28" w16cid:durableId="629016447">
    <w:abstractNumId w:val="22"/>
  </w:num>
  <w:num w:numId="29" w16cid:durableId="1352143524">
    <w:abstractNumId w:val="29"/>
  </w:num>
  <w:num w:numId="30" w16cid:durableId="2034109230">
    <w:abstractNumId w:val="46"/>
  </w:num>
  <w:num w:numId="31" w16cid:durableId="752432378">
    <w:abstractNumId w:val="38"/>
  </w:num>
  <w:num w:numId="32" w16cid:durableId="1766726706">
    <w:abstractNumId w:val="17"/>
  </w:num>
  <w:num w:numId="33" w16cid:durableId="848107073">
    <w:abstractNumId w:val="31"/>
  </w:num>
  <w:num w:numId="34" w16cid:durableId="1123234674">
    <w:abstractNumId w:val="5"/>
  </w:num>
  <w:num w:numId="35" w16cid:durableId="1056511850">
    <w:abstractNumId w:val="68"/>
  </w:num>
  <w:num w:numId="36" w16cid:durableId="1317146710">
    <w:abstractNumId w:val="63"/>
  </w:num>
  <w:num w:numId="37" w16cid:durableId="1101756761">
    <w:abstractNumId w:val="53"/>
  </w:num>
  <w:num w:numId="38" w16cid:durableId="1244534831">
    <w:abstractNumId w:val="60"/>
  </w:num>
  <w:num w:numId="39" w16cid:durableId="120655483">
    <w:abstractNumId w:val="28"/>
  </w:num>
  <w:num w:numId="40" w16cid:durableId="894855469">
    <w:abstractNumId w:val="21"/>
  </w:num>
  <w:num w:numId="41" w16cid:durableId="667756309">
    <w:abstractNumId w:val="8"/>
  </w:num>
  <w:num w:numId="42" w16cid:durableId="142236087">
    <w:abstractNumId w:val="34"/>
  </w:num>
  <w:num w:numId="43" w16cid:durableId="2005356031">
    <w:abstractNumId w:val="13"/>
  </w:num>
  <w:num w:numId="44" w16cid:durableId="196281328">
    <w:abstractNumId w:val="65"/>
  </w:num>
  <w:num w:numId="45" w16cid:durableId="867914171">
    <w:abstractNumId w:val="26"/>
  </w:num>
  <w:num w:numId="46" w16cid:durableId="483357562">
    <w:abstractNumId w:val="50"/>
  </w:num>
  <w:num w:numId="47" w16cid:durableId="1768383119">
    <w:abstractNumId w:val="27"/>
  </w:num>
  <w:num w:numId="48" w16cid:durableId="1410469743">
    <w:abstractNumId w:val="11"/>
  </w:num>
  <w:num w:numId="49" w16cid:durableId="2053842271">
    <w:abstractNumId w:val="42"/>
  </w:num>
  <w:num w:numId="50" w16cid:durableId="1903171236">
    <w:abstractNumId w:val="74"/>
  </w:num>
  <w:num w:numId="51" w16cid:durableId="1121417598">
    <w:abstractNumId w:val="67"/>
  </w:num>
  <w:num w:numId="52" w16cid:durableId="797450077">
    <w:abstractNumId w:val="14"/>
  </w:num>
  <w:num w:numId="53" w16cid:durableId="2013338396">
    <w:abstractNumId w:val="64"/>
  </w:num>
  <w:num w:numId="54" w16cid:durableId="589310176">
    <w:abstractNumId w:val="12"/>
  </w:num>
  <w:num w:numId="55" w16cid:durableId="1097558810">
    <w:abstractNumId w:val="43"/>
  </w:num>
  <w:num w:numId="56" w16cid:durableId="213854912">
    <w:abstractNumId w:val="7"/>
  </w:num>
  <w:num w:numId="57" w16cid:durableId="998389791">
    <w:abstractNumId w:val="30"/>
  </w:num>
  <w:num w:numId="58" w16cid:durableId="1070692224">
    <w:abstractNumId w:val="81"/>
  </w:num>
  <w:num w:numId="59" w16cid:durableId="860751783">
    <w:abstractNumId w:val="62"/>
  </w:num>
  <w:num w:numId="60" w16cid:durableId="1331986262">
    <w:abstractNumId w:val="35"/>
  </w:num>
  <w:num w:numId="61" w16cid:durableId="1794597664">
    <w:abstractNumId w:val="2"/>
  </w:num>
  <w:num w:numId="62" w16cid:durableId="538247212">
    <w:abstractNumId w:val="58"/>
  </w:num>
  <w:num w:numId="63" w16cid:durableId="1225143917">
    <w:abstractNumId w:val="79"/>
  </w:num>
  <w:num w:numId="64" w16cid:durableId="160853511">
    <w:abstractNumId w:val="39"/>
  </w:num>
  <w:num w:numId="65" w16cid:durableId="204295757">
    <w:abstractNumId w:val="15"/>
  </w:num>
  <w:num w:numId="66" w16cid:durableId="704912884">
    <w:abstractNumId w:val="51"/>
  </w:num>
  <w:num w:numId="67" w16cid:durableId="1198859740">
    <w:abstractNumId w:val="47"/>
  </w:num>
  <w:num w:numId="68" w16cid:durableId="622734688">
    <w:abstractNumId w:val="1"/>
  </w:num>
  <w:num w:numId="69" w16cid:durableId="1810904443">
    <w:abstractNumId w:val="61"/>
  </w:num>
  <w:num w:numId="70" w16cid:durableId="746419406">
    <w:abstractNumId w:val="44"/>
  </w:num>
  <w:num w:numId="71" w16cid:durableId="2066638798">
    <w:abstractNumId w:val="4"/>
  </w:num>
  <w:num w:numId="72" w16cid:durableId="1281836729">
    <w:abstractNumId w:val="75"/>
  </w:num>
  <w:num w:numId="73" w16cid:durableId="713819311">
    <w:abstractNumId w:val="72"/>
  </w:num>
  <w:num w:numId="74" w16cid:durableId="511727162">
    <w:abstractNumId w:val="40"/>
  </w:num>
  <w:num w:numId="75" w16cid:durableId="1024331907">
    <w:abstractNumId w:val="49"/>
  </w:num>
  <w:num w:numId="76" w16cid:durableId="1420367374">
    <w:abstractNumId w:val="41"/>
  </w:num>
  <w:num w:numId="77" w16cid:durableId="242225819">
    <w:abstractNumId w:val="6"/>
  </w:num>
  <w:num w:numId="78" w16cid:durableId="1159468230">
    <w:abstractNumId w:val="16"/>
  </w:num>
  <w:num w:numId="79" w16cid:durableId="439493726">
    <w:abstractNumId w:val="76"/>
  </w:num>
  <w:num w:numId="80" w16cid:durableId="516847068">
    <w:abstractNumId w:val="70"/>
  </w:num>
  <w:num w:numId="81" w16cid:durableId="583296292">
    <w:abstractNumId w:val="56"/>
  </w:num>
  <w:num w:numId="82" w16cid:durableId="1193568001">
    <w:abstractNumId w:val="32"/>
  </w:num>
  <w:num w:numId="83" w16cid:durableId="1591040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08901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833455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827513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904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885905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07CDE"/>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B90"/>
    <w:rsid w:val="000C5E29"/>
    <w:rsid w:val="000C5F32"/>
    <w:rsid w:val="000C5F77"/>
    <w:rsid w:val="000C683C"/>
    <w:rsid w:val="000C7AA0"/>
    <w:rsid w:val="000C7D0B"/>
    <w:rsid w:val="000D0BCC"/>
    <w:rsid w:val="000D1028"/>
    <w:rsid w:val="000D1C17"/>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05F5"/>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2FF"/>
    <w:rsid w:val="001227DC"/>
    <w:rsid w:val="0012294F"/>
    <w:rsid w:val="00122D9F"/>
    <w:rsid w:val="00123090"/>
    <w:rsid w:val="00123136"/>
    <w:rsid w:val="001231A7"/>
    <w:rsid w:val="00123A6A"/>
    <w:rsid w:val="001265BD"/>
    <w:rsid w:val="001266B9"/>
    <w:rsid w:val="001266BB"/>
    <w:rsid w:val="001266C9"/>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29"/>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C8C"/>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2F6"/>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553"/>
    <w:rsid w:val="002A09F6"/>
    <w:rsid w:val="002A12BA"/>
    <w:rsid w:val="002A12D3"/>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03F5"/>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4A5E"/>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387"/>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AE4"/>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5348"/>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1877"/>
    <w:rsid w:val="004E23CE"/>
    <w:rsid w:val="004E25D7"/>
    <w:rsid w:val="004E2981"/>
    <w:rsid w:val="004E2C28"/>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630"/>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6BD8"/>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6BEF"/>
    <w:rsid w:val="00587394"/>
    <w:rsid w:val="00590733"/>
    <w:rsid w:val="00590B6A"/>
    <w:rsid w:val="005920D0"/>
    <w:rsid w:val="00592618"/>
    <w:rsid w:val="0059331C"/>
    <w:rsid w:val="00594C70"/>
    <w:rsid w:val="00595782"/>
    <w:rsid w:val="00595F9D"/>
    <w:rsid w:val="005A1BB1"/>
    <w:rsid w:val="005A2F49"/>
    <w:rsid w:val="005A37C9"/>
    <w:rsid w:val="005A3CEA"/>
    <w:rsid w:val="005A515B"/>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E97"/>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50AB"/>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C0E"/>
    <w:rsid w:val="00671EEE"/>
    <w:rsid w:val="0067261B"/>
    <w:rsid w:val="00672CD7"/>
    <w:rsid w:val="006747DF"/>
    <w:rsid w:val="00674B58"/>
    <w:rsid w:val="00674F77"/>
    <w:rsid w:val="0067712E"/>
    <w:rsid w:val="00681A6A"/>
    <w:rsid w:val="00681DA8"/>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7FA"/>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3F85"/>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7CD"/>
    <w:rsid w:val="007C1820"/>
    <w:rsid w:val="007C2627"/>
    <w:rsid w:val="007C33DF"/>
    <w:rsid w:val="007C34BE"/>
    <w:rsid w:val="007C378A"/>
    <w:rsid w:val="007C3AF7"/>
    <w:rsid w:val="007C3D02"/>
    <w:rsid w:val="007C52AC"/>
    <w:rsid w:val="007C594B"/>
    <w:rsid w:val="007C67FD"/>
    <w:rsid w:val="007C6D0F"/>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674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6E7"/>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A7514"/>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877"/>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176"/>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5F9"/>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1E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AFE"/>
    <w:rsid w:val="00B71B12"/>
    <w:rsid w:val="00B71D6E"/>
    <w:rsid w:val="00B71FD4"/>
    <w:rsid w:val="00B720F6"/>
    <w:rsid w:val="00B73254"/>
    <w:rsid w:val="00B7368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5FF"/>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EF3"/>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938"/>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5D6"/>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6AFE"/>
    <w:rsid w:val="00DF78D4"/>
    <w:rsid w:val="00DF7D32"/>
    <w:rsid w:val="00E0098F"/>
    <w:rsid w:val="00E0171A"/>
    <w:rsid w:val="00E01E79"/>
    <w:rsid w:val="00E02860"/>
    <w:rsid w:val="00E0350C"/>
    <w:rsid w:val="00E03975"/>
    <w:rsid w:val="00E039F3"/>
    <w:rsid w:val="00E052DC"/>
    <w:rsid w:val="00E0565D"/>
    <w:rsid w:val="00E05F9C"/>
    <w:rsid w:val="00E06C4D"/>
    <w:rsid w:val="00E1117C"/>
    <w:rsid w:val="00E121FA"/>
    <w:rsid w:val="00E12A94"/>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2D8"/>
    <w:rsid w:val="00E97579"/>
    <w:rsid w:val="00E97CF0"/>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3D5"/>
    <w:rsid w:val="00F3468A"/>
    <w:rsid w:val="00F349C0"/>
    <w:rsid w:val="00F406A6"/>
    <w:rsid w:val="00F41351"/>
    <w:rsid w:val="00F4404B"/>
    <w:rsid w:val="00F44C22"/>
    <w:rsid w:val="00F44DB4"/>
    <w:rsid w:val="00F45267"/>
    <w:rsid w:val="00F452B3"/>
    <w:rsid w:val="00F45324"/>
    <w:rsid w:val="00F45731"/>
    <w:rsid w:val="00F513EA"/>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8E9"/>
    <w:rsid w:val="00FB093A"/>
    <w:rsid w:val="00FB2D8A"/>
    <w:rsid w:val="00FB3070"/>
    <w:rsid w:val="00FB3B37"/>
    <w:rsid w:val="00FB4A4D"/>
    <w:rsid w:val="00FB4CDB"/>
    <w:rsid w:val="00FB61AC"/>
    <w:rsid w:val="00FB6A93"/>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0FC"/>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4"/>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838471044">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094592359">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7" Type="http://schemas.openxmlformats.org/officeDocument/2006/relationships/hyperlink" Target="https://ohioauditor.gov/ipa/UniformGuidance/2024/10.557_Indirect_Cost_Rate_Information.pdf" TargetMode="External"/><Relationship Id="rId63" Type="http://schemas.openxmlformats.org/officeDocument/2006/relationships/hyperlink" Target="https://www.fns.usda.gov/wic/income-eligibility-guidance" TargetMode="Externa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48_CFR_Part_52.pdf" TargetMode="External"/><Relationship Id="rId7" Type="http://schemas.openxmlformats.org/officeDocument/2006/relationships/settings" Target="settings.xml"/><Relationship Id="rId71" Type="http://schemas.openxmlformats.org/officeDocument/2006/relationships/hyperlink" Target="2_CFR_Part_184.pdf" TargetMode="External"/><Relationship Id="rId92" Type="http://schemas.openxmlformats.org/officeDocument/2006/relationships/hyperlink" Target="48_CFR_Part_44.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07" Type="http://schemas.openxmlformats.org/officeDocument/2006/relationships/fontTable" Target="fontTable.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odh.ohio.gov/wps/wcm/connect/gov/4778786c-ea5b-48a3-9536-a1fe0b79574c/04-OFA-M03-OGAPP-Manual-V100-3-Rev-12-1-17.pdf?MOD=AJPERES&amp;CONVERT_TO=url&amp;CACHEID=ROOTWORKSPACE.Z18_M1HGGIK0N0JO00QO9DDDDM3000-4778786c-ea5b-48a3-9536-a1fe0b79574c-mI9NdFj" TargetMode="External"/><Relationship Id="rId37" Type="http://schemas.openxmlformats.org/officeDocument/2006/relationships/hyperlink" Target="http://www.ohioauditor.gov/references/practiceaids.html" TargetMode="External"/><Relationship Id="rId40" Type="http://schemas.openxmlformats.org/officeDocument/2006/relationships/hyperlink" Target="Agency_Adoption_of_the_UG_and_Example_Citations.pdf" TargetMode="External"/><Relationship Id="rId45" Type="http://schemas.openxmlformats.org/officeDocument/2006/relationships/hyperlink" Target="Selected_Items_of_Cost_Part_3_ComplianceSupplement.pdf" TargetMode="External"/><Relationship Id="rId53" Type="http://schemas.openxmlformats.org/officeDocument/2006/relationships/hyperlink" Target="48_CFR_Part_52.pdf" TargetMode="External"/><Relationship Id="rId58" Type="http://schemas.openxmlformats.org/officeDocument/2006/relationships/hyperlink" Target="48_CFR_Part_52.pdf" TargetMode="External"/><Relationship Id="rId66" Type="http://schemas.openxmlformats.org/officeDocument/2006/relationships/header" Target="header10.xml"/><Relationship Id="rId74" Type="http://schemas.openxmlformats.org/officeDocument/2006/relationships/hyperlink" Target="https://www.madeinamerica.gov/waivers" TargetMode="External"/><Relationship Id="rId79" Type="http://schemas.openxmlformats.org/officeDocument/2006/relationships/hyperlink" Target="48_CFR_Part_52.pdf" TargetMode="External"/><Relationship Id="rId87" Type="http://schemas.openxmlformats.org/officeDocument/2006/relationships/hyperlink" Target="OMB_Appendix_II.pdf" TargetMode="External"/><Relationship Id="rId102" Type="http://schemas.openxmlformats.org/officeDocument/2006/relationships/hyperlink" Target="https://checkpoint.riag.com/app/view/docPermaLink?DocID=iAICPAIGS:767.2440&amp;docTid=T0AICPAIGS:767.2440-1&amp;feature=ttoc&amp;lastCpReqId=97899&amp;tlltype=AICPAIGS:767.2668" TargetMode="External"/><Relationship Id="rId5" Type="http://schemas.openxmlformats.org/officeDocument/2006/relationships/numbering" Target="numbering.xml"/><Relationship Id="rId61" Type="http://schemas.openxmlformats.org/officeDocument/2006/relationships/header" Target="header9.xml"/><Relationship Id="rId82" Type="http://schemas.openxmlformats.org/officeDocument/2006/relationships/hyperlink" Target="2_CFR_Part_180.pdf" TargetMode="External"/><Relationship Id="rId90" Type="http://schemas.openxmlformats.org/officeDocument/2006/relationships/hyperlink" Target="48_CFR_Part_52.pdf"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www.fns.usda.gov/wic" TargetMode="External"/><Relationship Id="rId35" Type="http://schemas.openxmlformats.org/officeDocument/2006/relationships/hyperlink" Target="http://www.phaboard.org/" TargetMode="External"/><Relationship Id="rId43" Type="http://schemas.openxmlformats.org/officeDocument/2006/relationships/hyperlink" Target="https://ohioauditor.gov/references/practiceaids/faccrs.html" TargetMode="External"/><Relationship Id="rId48" Type="http://schemas.openxmlformats.org/officeDocument/2006/relationships/hyperlink" Target="http://www.ecfr.gov/" TargetMode="External"/><Relationship Id="rId56" Type="http://schemas.openxmlformats.org/officeDocument/2006/relationships/hyperlink" Target="https://www.hhs.gov/about/agencies/asa/psc/accounting/payment-management/index.html" TargetMode="External"/><Relationship Id="rId64" Type="http://schemas.openxmlformats.org/officeDocument/2006/relationships/hyperlink" Target="https://odh.ohio.gov/know-our-programs/women-infants-children/resources/ohio-wic-program-eligibility" TargetMode="External"/><Relationship Id="rId69" Type="http://schemas.openxmlformats.org/officeDocument/2006/relationships/header" Target="header11.xml"/><Relationship Id="rId77" Type="http://schemas.openxmlformats.org/officeDocument/2006/relationships/hyperlink" Target="48_CFR_Part_15.pdf"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M-24-02_Buy-America-Implementation-Guidance-Update.pdf" TargetMode="External"/><Relationship Id="rId80" Type="http://schemas.openxmlformats.org/officeDocument/2006/relationships/hyperlink" Target="2_CFR_Part_180.pdf" TargetMode="External"/><Relationship Id="rId85" Type="http://schemas.openxmlformats.org/officeDocument/2006/relationships/hyperlink" Target="48_CFR_Part_52.pdf" TargetMode="External"/><Relationship Id="rId93" Type="http://schemas.openxmlformats.org/officeDocument/2006/relationships/hyperlink" Target="48_CFR_Part_52.pdf" TargetMode="External"/><Relationship Id="rId98" Type="http://schemas.openxmlformats.org/officeDocument/2006/relationships/hyperlink" Target="2_CFR_Part_180.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codes.ohio.gov/ohio-administrative-code/chapter-3701-36" TargetMode="External"/><Relationship Id="rId38" Type="http://schemas.openxmlformats.org/officeDocument/2006/relationships/hyperlink" Target="https://ohioauditor.gov/ipa/UniformGuidance/2024/10.557_WIC_2024_Solicitation.pdf" TargetMode="External"/><Relationship Id="rId46" Type="http://schemas.openxmlformats.org/officeDocument/2006/relationships/image" Target="media/image2.png"/><Relationship Id="rId59" Type="http://schemas.openxmlformats.org/officeDocument/2006/relationships/hyperlink" Target="48%20CFR%2052.216-7.pdf" TargetMode="External"/><Relationship Id="rId67" Type="http://schemas.openxmlformats.org/officeDocument/2006/relationships/hyperlink" Target="https://ohioauditor.gov/ipa/UniformGuidance/2024/10.557_WIC_2024_Solicitation.pdf" TargetMode="External"/><Relationship Id="rId103" Type="http://schemas.openxmlformats.org/officeDocument/2006/relationships/image" Target="media/image3.gif"/><Relationship Id="rId108"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eader" Target="header7.xml"/><Relationship Id="rId54" Type="http://schemas.openxmlformats.org/officeDocument/2006/relationships/hyperlink" Target="48_CFR_Part_52.pdf" TargetMode="External"/><Relationship Id="rId62" Type="http://schemas.openxmlformats.org/officeDocument/2006/relationships/hyperlink" Target="http://www.fns.usda.gov/wic" TargetMode="External"/><Relationship Id="rId70" Type="http://schemas.openxmlformats.org/officeDocument/2006/relationships/hyperlink" Target="IIJA_PublicLaw_117-58.pdf" TargetMode="External"/><Relationship Id="rId75" Type="http://schemas.openxmlformats.org/officeDocument/2006/relationships/hyperlink" Target="48_CFR_Part_52.pdf" TargetMode="External"/><Relationship Id="rId83" Type="http://schemas.openxmlformats.org/officeDocument/2006/relationships/hyperlink" Target="https://www.sam.gov/" TargetMode="External"/><Relationship Id="rId88" Type="http://schemas.openxmlformats.org/officeDocument/2006/relationships/hyperlink" Target="48_CFR_9.405-2.pdf" TargetMode="External"/><Relationship Id="rId91" Type="http://schemas.openxmlformats.org/officeDocument/2006/relationships/hyperlink" Target="48_CFR_Part_52.pdf" TargetMode="External"/><Relationship Id="rId96" Type="http://schemas.openxmlformats.org/officeDocument/2006/relationships/hyperlink" Target="48_CFR_Part_15.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6.xml"/><Relationship Id="rId49" Type="http://schemas.openxmlformats.org/officeDocument/2006/relationships/hyperlink" Target="Testing_the_ICRP_discussion.pdf" TargetMode="External"/><Relationship Id="rId57" Type="http://schemas.openxmlformats.org/officeDocument/2006/relationships/hyperlink" Target="https://www.fiscal.treasury.gov/ASAP/" TargetMode="External"/><Relationship Id="rId106"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45_CFR_Part_75.pdf" TargetMode="External"/><Relationship Id="rId52" Type="http://schemas.openxmlformats.org/officeDocument/2006/relationships/hyperlink" Target="31_CFR_Part_205.pdf" TargetMode="External"/><Relationship Id="rId60" Type="http://schemas.openxmlformats.org/officeDocument/2006/relationships/hyperlink" Target="Agency_Adoption_of_the_UG_and_Example_Citations.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www.madeinamerica.gov/waivers/financial-assistance" TargetMode="External"/><Relationship Id="rId78" Type="http://schemas.openxmlformats.org/officeDocument/2006/relationships/hyperlink" Target="48_CFR_Part_44.pdf" TargetMode="External"/><Relationship Id="rId81" Type="http://schemas.openxmlformats.org/officeDocument/2006/relationships/hyperlink" Target="2_CFR_Part_180.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48_CFR_Part_52.pdf" TargetMode="External"/><Relationship Id="rId10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www.ohiosharedservices.ohio.gov/TravelandExpense.aspx" TargetMode="External"/><Relationship Id="rId34" Type="http://schemas.openxmlformats.org/officeDocument/2006/relationships/hyperlink" Target="https://codes.ohio.gov/ohio-revised-code/section-3701.342"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fiscal.treasury.gov/cmia/" TargetMode="External"/><Relationship Id="rId76" Type="http://schemas.openxmlformats.org/officeDocument/2006/relationships/hyperlink" Target="48_CFR_Part_3.pdf" TargetMode="External"/><Relationship Id="rId97" Type="http://schemas.openxmlformats.org/officeDocument/2006/relationships/hyperlink" Target="48_CFR_Part_52.pdf" TargetMode="External"/><Relationship Id="rId104" Type="http://schemas.openxmlformats.org/officeDocument/2006/relationships/hyperlink" Target="2_CFR_Part_20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81</Pages>
  <Words>34025</Words>
  <Characters>193945</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227515</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38</cp:revision>
  <cp:lastPrinted>2015-07-01T17:39:00Z</cp:lastPrinted>
  <dcterms:created xsi:type="dcterms:W3CDTF">2025-01-03T16:49:00Z</dcterms:created>
  <dcterms:modified xsi:type="dcterms:W3CDTF">2025-01-24T15:15:00Z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