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0AC392F6" w:rsidR="00B3756A" w:rsidRPr="00A0464C" w:rsidRDefault="00196E8C" w:rsidP="003D19F2">
            <w:pPr>
              <w:jc w:val="both"/>
              <w:rPr>
                <w:rFonts w:ascii="Arial" w:hAnsi="Arial" w:cs="Arial"/>
                <w:sz w:val="24"/>
                <w:szCs w:val="24"/>
              </w:rPr>
            </w:pPr>
            <w:r>
              <w:rPr>
                <w:rFonts w:ascii="Arial" w:hAnsi="Arial" w:cs="Arial"/>
                <w:sz w:val="24"/>
                <w:szCs w:val="24"/>
              </w:rPr>
              <w:t>Public Housing Capital Fund</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68B28F4E" w:rsidR="00B3756A" w:rsidRPr="00A0464C" w:rsidRDefault="00196E8C" w:rsidP="003D19F2">
            <w:pPr>
              <w:jc w:val="both"/>
              <w:rPr>
                <w:rFonts w:ascii="Arial" w:hAnsi="Arial" w:cs="Arial"/>
                <w:sz w:val="24"/>
                <w:szCs w:val="24"/>
              </w:rPr>
            </w:pPr>
            <w:r>
              <w:rPr>
                <w:rFonts w:ascii="Arial" w:hAnsi="Arial" w:cs="Arial"/>
                <w:sz w:val="24"/>
                <w:szCs w:val="24"/>
              </w:rPr>
              <w:t>14.872</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7858C065" w:rsidR="00B3756A" w:rsidRPr="00886A3E" w:rsidRDefault="00196E8C"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245A8392" w:rsidR="00B3756A" w:rsidRPr="00A0464C" w:rsidRDefault="00196E8C"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5DB0FC3B" w14:textId="77777777" w:rsidR="00196E8C" w:rsidRPr="00E93929" w:rsidRDefault="00196E8C" w:rsidP="00196E8C">
            <w:pPr>
              <w:jc w:val="both"/>
              <w:rPr>
                <w:rFonts w:ascii="Arial" w:hAnsi="Arial" w:cs="Arial"/>
                <w:sz w:val="24"/>
                <w:szCs w:val="24"/>
              </w:rPr>
            </w:pPr>
            <w:r w:rsidRPr="00E93929">
              <w:rPr>
                <w:rFonts w:ascii="Arial" w:hAnsi="Arial" w:cs="Arial"/>
                <w:sz w:val="24"/>
                <w:szCs w:val="24"/>
              </w:rPr>
              <w:t>This FACCR was prepared under the 2024 Revisions to the Uniform Guidance. The Department of Housing and Urban Development (HUD) adopted the 2024 Revisions effective October 1, 2024.</w:t>
            </w:r>
          </w:p>
          <w:p w14:paraId="69C95758" w14:textId="77777777" w:rsidR="00196E8C" w:rsidRPr="00E93929" w:rsidRDefault="00196E8C" w:rsidP="00196E8C">
            <w:pPr>
              <w:jc w:val="both"/>
              <w:rPr>
                <w:rFonts w:ascii="Arial" w:hAnsi="Arial" w:cs="Arial"/>
                <w:sz w:val="24"/>
                <w:szCs w:val="24"/>
              </w:rPr>
            </w:pPr>
          </w:p>
          <w:p w14:paraId="4B7C991A" w14:textId="3C161AAF" w:rsidR="00B3756A" w:rsidRDefault="00196E8C" w:rsidP="00196E8C">
            <w:pPr>
              <w:jc w:val="both"/>
              <w:rPr>
                <w:rFonts w:ascii="Arial" w:hAnsi="Arial" w:cs="Arial"/>
                <w:sz w:val="24"/>
                <w:szCs w:val="24"/>
              </w:rPr>
            </w:pPr>
            <w:r w:rsidRPr="00E93929">
              <w:rPr>
                <w:rFonts w:ascii="Arial" w:hAnsi="Arial" w:cs="Arial"/>
                <w:sz w:val="24"/>
                <w:szCs w:val="24"/>
              </w:rPr>
              <w:t xml:space="preserve">After reviewing both the pre- and post-2024 Revisions guidance, CFAE determined that the </w:t>
            </w:r>
            <w:r>
              <w:rPr>
                <w:rFonts w:ascii="Arial" w:hAnsi="Arial" w:cs="Arial"/>
                <w:sz w:val="24"/>
                <w:szCs w:val="24"/>
              </w:rPr>
              <w:t xml:space="preserve">Public Housing Capital Fund </w:t>
            </w:r>
            <w:r w:rsidRPr="00E93929">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253521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543B540"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980A153"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F67888F"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48E84DC"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564CB270"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212180AA"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2535216"/>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27D949D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BE9BDFA"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4218615D"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535217"/>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867A18A" w14:textId="6494BBD3" w:rsidR="00A4239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535215" w:history="1">
            <w:r w:rsidR="00A42391" w:rsidRPr="00736019">
              <w:rPr>
                <w:rStyle w:val="Hyperlink"/>
                <w:rFonts w:cs="Arial"/>
                <w:noProof/>
              </w:rPr>
              <w:t>Important Information</w:t>
            </w:r>
            <w:r w:rsidR="00A42391">
              <w:rPr>
                <w:noProof/>
                <w:webHidden/>
              </w:rPr>
              <w:tab/>
            </w:r>
            <w:r w:rsidR="00A42391">
              <w:rPr>
                <w:noProof/>
                <w:webHidden/>
              </w:rPr>
              <w:fldChar w:fldCharType="begin"/>
            </w:r>
            <w:r w:rsidR="00A42391">
              <w:rPr>
                <w:noProof/>
                <w:webHidden/>
              </w:rPr>
              <w:instrText xml:space="preserve"> PAGEREF _Toc212535215 \h </w:instrText>
            </w:r>
            <w:r w:rsidR="00A42391">
              <w:rPr>
                <w:noProof/>
                <w:webHidden/>
              </w:rPr>
            </w:r>
            <w:r w:rsidR="00A42391">
              <w:rPr>
                <w:noProof/>
                <w:webHidden/>
              </w:rPr>
              <w:fldChar w:fldCharType="separate"/>
            </w:r>
            <w:r w:rsidR="00026E1F">
              <w:rPr>
                <w:noProof/>
                <w:webHidden/>
              </w:rPr>
              <w:t>2</w:t>
            </w:r>
            <w:r w:rsidR="00A42391">
              <w:rPr>
                <w:noProof/>
                <w:webHidden/>
              </w:rPr>
              <w:fldChar w:fldCharType="end"/>
            </w:r>
          </w:hyperlink>
        </w:p>
        <w:p w14:paraId="5AACD9BD" w14:textId="1ECCC075" w:rsidR="00A42391" w:rsidRDefault="00A42391">
          <w:pPr>
            <w:pStyle w:val="TOC1"/>
            <w:rPr>
              <w:rFonts w:asciiTheme="minorHAnsi" w:eastAsiaTheme="minorEastAsia" w:hAnsiTheme="minorHAnsi" w:cstheme="minorBidi"/>
              <w:noProof/>
              <w:kern w:val="2"/>
              <w:sz w:val="24"/>
              <w:szCs w:val="24"/>
              <w14:ligatures w14:val="standardContextual"/>
            </w:rPr>
          </w:pPr>
          <w:hyperlink w:anchor="_Toc212535216" w:history="1">
            <w:r w:rsidRPr="00736019">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_Toc212535216 \h </w:instrText>
            </w:r>
            <w:r>
              <w:rPr>
                <w:noProof/>
                <w:webHidden/>
              </w:rPr>
            </w:r>
            <w:r>
              <w:rPr>
                <w:noProof/>
                <w:webHidden/>
              </w:rPr>
              <w:fldChar w:fldCharType="separate"/>
            </w:r>
            <w:r w:rsidR="00026E1F">
              <w:rPr>
                <w:noProof/>
                <w:webHidden/>
              </w:rPr>
              <w:t>3</w:t>
            </w:r>
            <w:r>
              <w:rPr>
                <w:noProof/>
                <w:webHidden/>
              </w:rPr>
              <w:fldChar w:fldCharType="end"/>
            </w:r>
          </w:hyperlink>
        </w:p>
        <w:p w14:paraId="342A00C0" w14:textId="1BE785FA" w:rsidR="00A42391" w:rsidRDefault="00A42391">
          <w:pPr>
            <w:pStyle w:val="TOC1"/>
            <w:rPr>
              <w:rFonts w:asciiTheme="minorHAnsi" w:eastAsiaTheme="minorEastAsia" w:hAnsiTheme="minorHAnsi" w:cstheme="minorBidi"/>
              <w:noProof/>
              <w:kern w:val="2"/>
              <w:sz w:val="24"/>
              <w:szCs w:val="24"/>
              <w14:ligatures w14:val="standardContextual"/>
            </w:rPr>
          </w:pPr>
          <w:hyperlink w:anchor="_Toc212535217" w:history="1">
            <w:r w:rsidRPr="00736019">
              <w:rPr>
                <w:rStyle w:val="Hyperlink"/>
                <w:rFonts w:cs="Arial"/>
                <w:noProof/>
              </w:rPr>
              <w:t>Table of Contents</w:t>
            </w:r>
            <w:r>
              <w:rPr>
                <w:noProof/>
                <w:webHidden/>
              </w:rPr>
              <w:tab/>
            </w:r>
            <w:r>
              <w:rPr>
                <w:noProof/>
                <w:webHidden/>
              </w:rPr>
              <w:fldChar w:fldCharType="begin"/>
            </w:r>
            <w:r>
              <w:rPr>
                <w:noProof/>
                <w:webHidden/>
              </w:rPr>
              <w:instrText xml:space="preserve"> PAGEREF _Toc212535217 \h </w:instrText>
            </w:r>
            <w:r>
              <w:rPr>
                <w:noProof/>
                <w:webHidden/>
              </w:rPr>
            </w:r>
            <w:r>
              <w:rPr>
                <w:noProof/>
                <w:webHidden/>
              </w:rPr>
              <w:fldChar w:fldCharType="separate"/>
            </w:r>
            <w:r w:rsidR="00026E1F">
              <w:rPr>
                <w:noProof/>
                <w:webHidden/>
              </w:rPr>
              <w:t>4</w:t>
            </w:r>
            <w:r>
              <w:rPr>
                <w:noProof/>
                <w:webHidden/>
              </w:rPr>
              <w:fldChar w:fldCharType="end"/>
            </w:r>
          </w:hyperlink>
        </w:p>
        <w:p w14:paraId="4A6B9E77" w14:textId="31518EC3" w:rsidR="00A42391" w:rsidRDefault="00A42391">
          <w:pPr>
            <w:pStyle w:val="TOC1"/>
            <w:rPr>
              <w:rFonts w:asciiTheme="minorHAnsi" w:eastAsiaTheme="minorEastAsia" w:hAnsiTheme="minorHAnsi" w:cstheme="minorBidi"/>
              <w:noProof/>
              <w:kern w:val="2"/>
              <w:sz w:val="24"/>
              <w:szCs w:val="24"/>
              <w14:ligatures w14:val="standardContextual"/>
            </w:rPr>
          </w:pPr>
          <w:hyperlink w:anchor="_Toc212535218" w:history="1">
            <w:r w:rsidRPr="00736019">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_Toc212535218 \h </w:instrText>
            </w:r>
            <w:r>
              <w:rPr>
                <w:noProof/>
                <w:webHidden/>
              </w:rPr>
            </w:r>
            <w:r>
              <w:rPr>
                <w:noProof/>
                <w:webHidden/>
              </w:rPr>
              <w:fldChar w:fldCharType="separate"/>
            </w:r>
            <w:r w:rsidR="00026E1F">
              <w:rPr>
                <w:noProof/>
                <w:webHidden/>
              </w:rPr>
              <w:t>8</w:t>
            </w:r>
            <w:r>
              <w:rPr>
                <w:noProof/>
                <w:webHidden/>
              </w:rPr>
              <w:fldChar w:fldCharType="end"/>
            </w:r>
          </w:hyperlink>
        </w:p>
        <w:p w14:paraId="1DAB1778" w14:textId="26883075"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19" w:history="1">
            <w:r w:rsidRPr="00736019">
              <w:rPr>
                <w:rStyle w:val="Hyperlink"/>
                <w:rFonts w:cs="Arial"/>
                <w:noProof/>
              </w:rPr>
              <w:t>I. Program Objectives</w:t>
            </w:r>
            <w:r>
              <w:rPr>
                <w:noProof/>
                <w:webHidden/>
              </w:rPr>
              <w:tab/>
            </w:r>
            <w:r>
              <w:rPr>
                <w:noProof/>
                <w:webHidden/>
              </w:rPr>
              <w:fldChar w:fldCharType="begin"/>
            </w:r>
            <w:r>
              <w:rPr>
                <w:noProof/>
                <w:webHidden/>
              </w:rPr>
              <w:instrText xml:space="preserve"> PAGEREF _Toc212535219 \h </w:instrText>
            </w:r>
            <w:r>
              <w:rPr>
                <w:noProof/>
                <w:webHidden/>
              </w:rPr>
            </w:r>
            <w:r>
              <w:rPr>
                <w:noProof/>
                <w:webHidden/>
              </w:rPr>
              <w:fldChar w:fldCharType="separate"/>
            </w:r>
            <w:r w:rsidR="00026E1F">
              <w:rPr>
                <w:noProof/>
                <w:webHidden/>
              </w:rPr>
              <w:t>8</w:t>
            </w:r>
            <w:r>
              <w:rPr>
                <w:noProof/>
                <w:webHidden/>
              </w:rPr>
              <w:fldChar w:fldCharType="end"/>
            </w:r>
          </w:hyperlink>
        </w:p>
        <w:p w14:paraId="47B02113" w14:textId="17C9015E"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0" w:history="1">
            <w:r w:rsidRPr="00736019">
              <w:rPr>
                <w:rStyle w:val="Hyperlink"/>
                <w:rFonts w:cs="Arial"/>
                <w:noProof/>
              </w:rPr>
              <w:t>II. Program Procedures</w:t>
            </w:r>
            <w:r>
              <w:rPr>
                <w:noProof/>
                <w:webHidden/>
              </w:rPr>
              <w:tab/>
            </w:r>
            <w:r>
              <w:rPr>
                <w:noProof/>
                <w:webHidden/>
              </w:rPr>
              <w:fldChar w:fldCharType="begin"/>
            </w:r>
            <w:r>
              <w:rPr>
                <w:noProof/>
                <w:webHidden/>
              </w:rPr>
              <w:instrText xml:space="preserve"> PAGEREF _Toc212535220 \h </w:instrText>
            </w:r>
            <w:r>
              <w:rPr>
                <w:noProof/>
                <w:webHidden/>
              </w:rPr>
            </w:r>
            <w:r>
              <w:rPr>
                <w:noProof/>
                <w:webHidden/>
              </w:rPr>
              <w:fldChar w:fldCharType="separate"/>
            </w:r>
            <w:r w:rsidR="00026E1F">
              <w:rPr>
                <w:noProof/>
                <w:webHidden/>
              </w:rPr>
              <w:t>8</w:t>
            </w:r>
            <w:r>
              <w:rPr>
                <w:noProof/>
                <w:webHidden/>
              </w:rPr>
              <w:fldChar w:fldCharType="end"/>
            </w:r>
          </w:hyperlink>
        </w:p>
        <w:p w14:paraId="4AF19E82" w14:textId="63CD8C27"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1" w:history="1">
            <w:r w:rsidRPr="00736019">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_Toc212535221 \h </w:instrText>
            </w:r>
            <w:r>
              <w:rPr>
                <w:noProof/>
                <w:webHidden/>
              </w:rPr>
            </w:r>
            <w:r>
              <w:rPr>
                <w:noProof/>
                <w:webHidden/>
              </w:rPr>
              <w:fldChar w:fldCharType="separate"/>
            </w:r>
            <w:r w:rsidR="00026E1F">
              <w:rPr>
                <w:noProof/>
                <w:webHidden/>
              </w:rPr>
              <w:t>10</w:t>
            </w:r>
            <w:r>
              <w:rPr>
                <w:noProof/>
                <w:webHidden/>
              </w:rPr>
              <w:fldChar w:fldCharType="end"/>
            </w:r>
          </w:hyperlink>
        </w:p>
        <w:p w14:paraId="325ABB71" w14:textId="211A6B9D"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2" w:history="1">
            <w:r w:rsidRPr="00736019">
              <w:rPr>
                <w:rStyle w:val="Hyperlink"/>
                <w:rFonts w:cs="Arial"/>
                <w:noProof/>
              </w:rPr>
              <w:t>IV. Other Information</w:t>
            </w:r>
            <w:r>
              <w:rPr>
                <w:noProof/>
                <w:webHidden/>
              </w:rPr>
              <w:tab/>
            </w:r>
            <w:r>
              <w:rPr>
                <w:noProof/>
                <w:webHidden/>
              </w:rPr>
              <w:fldChar w:fldCharType="begin"/>
            </w:r>
            <w:r>
              <w:rPr>
                <w:noProof/>
                <w:webHidden/>
              </w:rPr>
              <w:instrText xml:space="preserve"> PAGEREF _Toc212535222 \h </w:instrText>
            </w:r>
            <w:r>
              <w:rPr>
                <w:noProof/>
                <w:webHidden/>
              </w:rPr>
            </w:r>
            <w:r>
              <w:rPr>
                <w:noProof/>
                <w:webHidden/>
              </w:rPr>
              <w:fldChar w:fldCharType="separate"/>
            </w:r>
            <w:r w:rsidR="00026E1F">
              <w:rPr>
                <w:noProof/>
                <w:webHidden/>
              </w:rPr>
              <w:t>10</w:t>
            </w:r>
            <w:r>
              <w:rPr>
                <w:noProof/>
                <w:webHidden/>
              </w:rPr>
              <w:fldChar w:fldCharType="end"/>
            </w:r>
          </w:hyperlink>
        </w:p>
        <w:p w14:paraId="5DD5AC33" w14:textId="3A7944A7" w:rsidR="00A42391" w:rsidRDefault="00A42391">
          <w:pPr>
            <w:pStyle w:val="TOC1"/>
            <w:rPr>
              <w:rFonts w:asciiTheme="minorHAnsi" w:eastAsiaTheme="minorEastAsia" w:hAnsiTheme="minorHAnsi" w:cstheme="minorBidi"/>
              <w:noProof/>
              <w:kern w:val="2"/>
              <w:sz w:val="24"/>
              <w:szCs w:val="24"/>
              <w14:ligatures w14:val="standardContextual"/>
            </w:rPr>
          </w:pPr>
          <w:hyperlink w:anchor="_Toc212535223" w:history="1">
            <w:r w:rsidRPr="00736019">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_Toc212535223 \h </w:instrText>
            </w:r>
            <w:r>
              <w:rPr>
                <w:noProof/>
                <w:webHidden/>
              </w:rPr>
            </w:r>
            <w:r>
              <w:rPr>
                <w:noProof/>
                <w:webHidden/>
              </w:rPr>
              <w:fldChar w:fldCharType="separate"/>
            </w:r>
            <w:r w:rsidR="00026E1F">
              <w:rPr>
                <w:noProof/>
                <w:webHidden/>
              </w:rPr>
              <w:t>12</w:t>
            </w:r>
            <w:r>
              <w:rPr>
                <w:noProof/>
                <w:webHidden/>
              </w:rPr>
              <w:fldChar w:fldCharType="end"/>
            </w:r>
          </w:hyperlink>
        </w:p>
        <w:p w14:paraId="693C0BAC" w14:textId="0223E052"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4" w:history="1">
            <w:r w:rsidRPr="00736019">
              <w:rPr>
                <w:rStyle w:val="Hyperlink"/>
                <w:rFonts w:cs="Arial"/>
                <w:noProof/>
              </w:rPr>
              <w:t>Program Overview</w:t>
            </w:r>
            <w:r>
              <w:rPr>
                <w:noProof/>
                <w:webHidden/>
              </w:rPr>
              <w:tab/>
            </w:r>
            <w:r>
              <w:rPr>
                <w:noProof/>
                <w:webHidden/>
              </w:rPr>
              <w:fldChar w:fldCharType="begin"/>
            </w:r>
            <w:r>
              <w:rPr>
                <w:noProof/>
                <w:webHidden/>
              </w:rPr>
              <w:instrText xml:space="preserve"> PAGEREF _Toc212535224 \h </w:instrText>
            </w:r>
            <w:r>
              <w:rPr>
                <w:noProof/>
                <w:webHidden/>
              </w:rPr>
            </w:r>
            <w:r>
              <w:rPr>
                <w:noProof/>
                <w:webHidden/>
              </w:rPr>
              <w:fldChar w:fldCharType="separate"/>
            </w:r>
            <w:r w:rsidR="00026E1F">
              <w:rPr>
                <w:noProof/>
                <w:webHidden/>
              </w:rPr>
              <w:t>12</w:t>
            </w:r>
            <w:r>
              <w:rPr>
                <w:noProof/>
                <w:webHidden/>
              </w:rPr>
              <w:fldChar w:fldCharType="end"/>
            </w:r>
          </w:hyperlink>
        </w:p>
        <w:p w14:paraId="3F98BBF2" w14:textId="72DCDE22"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5" w:history="1">
            <w:r w:rsidRPr="00736019">
              <w:rPr>
                <w:rStyle w:val="Hyperlink"/>
                <w:rFonts w:cs="Arial"/>
                <w:noProof/>
              </w:rPr>
              <w:t>Testing Considerations</w:t>
            </w:r>
            <w:r>
              <w:rPr>
                <w:noProof/>
                <w:webHidden/>
              </w:rPr>
              <w:tab/>
            </w:r>
            <w:r>
              <w:rPr>
                <w:noProof/>
                <w:webHidden/>
              </w:rPr>
              <w:fldChar w:fldCharType="begin"/>
            </w:r>
            <w:r>
              <w:rPr>
                <w:noProof/>
                <w:webHidden/>
              </w:rPr>
              <w:instrText xml:space="preserve"> PAGEREF _Toc212535225 \h </w:instrText>
            </w:r>
            <w:r>
              <w:rPr>
                <w:noProof/>
                <w:webHidden/>
              </w:rPr>
            </w:r>
            <w:r>
              <w:rPr>
                <w:noProof/>
                <w:webHidden/>
              </w:rPr>
              <w:fldChar w:fldCharType="separate"/>
            </w:r>
            <w:r w:rsidR="00026E1F">
              <w:rPr>
                <w:noProof/>
                <w:webHidden/>
              </w:rPr>
              <w:t>12</w:t>
            </w:r>
            <w:r>
              <w:rPr>
                <w:noProof/>
                <w:webHidden/>
              </w:rPr>
              <w:fldChar w:fldCharType="end"/>
            </w:r>
          </w:hyperlink>
        </w:p>
        <w:p w14:paraId="616F136C" w14:textId="4A8E9BDD"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6" w:history="1">
            <w:r w:rsidRPr="00736019">
              <w:rPr>
                <w:rStyle w:val="Hyperlink"/>
                <w:rFonts w:cs="Arial"/>
                <w:noProof/>
              </w:rPr>
              <w:t>Reporting</w:t>
            </w:r>
            <w:r>
              <w:rPr>
                <w:noProof/>
                <w:webHidden/>
              </w:rPr>
              <w:tab/>
            </w:r>
            <w:r>
              <w:rPr>
                <w:noProof/>
                <w:webHidden/>
              </w:rPr>
              <w:fldChar w:fldCharType="begin"/>
            </w:r>
            <w:r>
              <w:rPr>
                <w:noProof/>
                <w:webHidden/>
              </w:rPr>
              <w:instrText xml:space="preserve"> PAGEREF _Toc212535226 \h </w:instrText>
            </w:r>
            <w:r>
              <w:rPr>
                <w:noProof/>
                <w:webHidden/>
              </w:rPr>
            </w:r>
            <w:r>
              <w:rPr>
                <w:noProof/>
                <w:webHidden/>
              </w:rPr>
              <w:fldChar w:fldCharType="separate"/>
            </w:r>
            <w:r w:rsidR="00026E1F">
              <w:rPr>
                <w:noProof/>
                <w:webHidden/>
              </w:rPr>
              <w:t>12</w:t>
            </w:r>
            <w:r>
              <w:rPr>
                <w:noProof/>
                <w:webHidden/>
              </w:rPr>
              <w:fldChar w:fldCharType="end"/>
            </w:r>
          </w:hyperlink>
        </w:p>
        <w:p w14:paraId="7D48EE46" w14:textId="6FD9784B" w:rsidR="00A42391" w:rsidRDefault="00A42391">
          <w:pPr>
            <w:pStyle w:val="TOC1"/>
            <w:rPr>
              <w:rFonts w:asciiTheme="minorHAnsi" w:eastAsiaTheme="minorEastAsia" w:hAnsiTheme="minorHAnsi" w:cstheme="minorBidi"/>
              <w:noProof/>
              <w:kern w:val="2"/>
              <w:sz w:val="24"/>
              <w:szCs w:val="24"/>
              <w14:ligatures w14:val="standardContextual"/>
            </w:rPr>
          </w:pPr>
          <w:hyperlink w:anchor="_Toc212535227" w:history="1">
            <w:r w:rsidRPr="00736019">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_Toc212535227 \h </w:instrText>
            </w:r>
            <w:r>
              <w:rPr>
                <w:noProof/>
                <w:webHidden/>
              </w:rPr>
            </w:r>
            <w:r>
              <w:rPr>
                <w:noProof/>
                <w:webHidden/>
              </w:rPr>
              <w:fldChar w:fldCharType="separate"/>
            </w:r>
            <w:r w:rsidR="00026E1F">
              <w:rPr>
                <w:noProof/>
                <w:webHidden/>
              </w:rPr>
              <w:t>13</w:t>
            </w:r>
            <w:r>
              <w:rPr>
                <w:noProof/>
                <w:webHidden/>
              </w:rPr>
              <w:fldChar w:fldCharType="end"/>
            </w:r>
          </w:hyperlink>
        </w:p>
        <w:p w14:paraId="71E9DDAD" w14:textId="30439BD6" w:rsidR="00A42391" w:rsidRDefault="00A42391">
          <w:pPr>
            <w:pStyle w:val="TOC2"/>
            <w:rPr>
              <w:rFonts w:asciiTheme="minorHAnsi" w:eastAsiaTheme="minorEastAsia" w:hAnsiTheme="minorHAnsi" w:cstheme="minorBidi"/>
              <w:bCs w:val="0"/>
              <w:kern w:val="2"/>
              <w:sz w:val="24"/>
              <w14:ligatures w14:val="standardContextual"/>
            </w:rPr>
          </w:pPr>
          <w:hyperlink w:anchor="_Toc212535228" w:history="1">
            <w:r w:rsidRPr="00736019">
              <w:rPr>
                <w:rStyle w:val="Hyperlink"/>
              </w:rPr>
              <w:t>A.  ACTIVITIES ALLOWED OR UNALLOWED</w:t>
            </w:r>
            <w:r>
              <w:rPr>
                <w:webHidden/>
              </w:rPr>
              <w:tab/>
            </w:r>
            <w:r>
              <w:rPr>
                <w:webHidden/>
              </w:rPr>
              <w:fldChar w:fldCharType="begin"/>
            </w:r>
            <w:r>
              <w:rPr>
                <w:webHidden/>
              </w:rPr>
              <w:instrText xml:space="preserve"> PAGEREF _Toc212535228 \h </w:instrText>
            </w:r>
            <w:r>
              <w:rPr>
                <w:webHidden/>
              </w:rPr>
            </w:r>
            <w:r>
              <w:rPr>
                <w:webHidden/>
              </w:rPr>
              <w:fldChar w:fldCharType="separate"/>
            </w:r>
            <w:r w:rsidR="00026E1F">
              <w:rPr>
                <w:webHidden/>
              </w:rPr>
              <w:t>13</w:t>
            </w:r>
            <w:r>
              <w:rPr>
                <w:webHidden/>
              </w:rPr>
              <w:fldChar w:fldCharType="end"/>
            </w:r>
          </w:hyperlink>
        </w:p>
        <w:p w14:paraId="33EA2591" w14:textId="5C79ECF4"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29" w:history="1">
            <w:r w:rsidRPr="00736019">
              <w:rPr>
                <w:rStyle w:val="Hyperlink"/>
                <w:rFonts w:cs="Arial"/>
                <w:noProof/>
              </w:rPr>
              <w:t>OMB Compliance Requirements</w:t>
            </w:r>
            <w:r>
              <w:rPr>
                <w:noProof/>
                <w:webHidden/>
              </w:rPr>
              <w:tab/>
            </w:r>
            <w:r>
              <w:rPr>
                <w:noProof/>
                <w:webHidden/>
              </w:rPr>
              <w:fldChar w:fldCharType="begin"/>
            </w:r>
            <w:r>
              <w:rPr>
                <w:noProof/>
                <w:webHidden/>
              </w:rPr>
              <w:instrText xml:space="preserve"> PAGEREF _Toc212535229 \h </w:instrText>
            </w:r>
            <w:r>
              <w:rPr>
                <w:noProof/>
                <w:webHidden/>
              </w:rPr>
            </w:r>
            <w:r>
              <w:rPr>
                <w:noProof/>
                <w:webHidden/>
              </w:rPr>
              <w:fldChar w:fldCharType="separate"/>
            </w:r>
            <w:r w:rsidR="00026E1F">
              <w:rPr>
                <w:noProof/>
                <w:webHidden/>
              </w:rPr>
              <w:t>13</w:t>
            </w:r>
            <w:r>
              <w:rPr>
                <w:noProof/>
                <w:webHidden/>
              </w:rPr>
              <w:fldChar w:fldCharType="end"/>
            </w:r>
          </w:hyperlink>
        </w:p>
        <w:p w14:paraId="38AFFEEC" w14:textId="2DEDC637"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0" w:history="1">
            <w:r w:rsidRPr="0073601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_Toc212535230 \h </w:instrText>
            </w:r>
            <w:r>
              <w:rPr>
                <w:noProof/>
                <w:webHidden/>
              </w:rPr>
            </w:r>
            <w:r>
              <w:rPr>
                <w:noProof/>
                <w:webHidden/>
              </w:rPr>
              <w:fldChar w:fldCharType="separate"/>
            </w:r>
            <w:r w:rsidR="00026E1F">
              <w:rPr>
                <w:noProof/>
                <w:webHidden/>
              </w:rPr>
              <w:t>15</w:t>
            </w:r>
            <w:r>
              <w:rPr>
                <w:noProof/>
                <w:webHidden/>
              </w:rPr>
              <w:fldChar w:fldCharType="end"/>
            </w:r>
          </w:hyperlink>
        </w:p>
        <w:p w14:paraId="52D37601" w14:textId="68FD5BB9"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1" w:history="1">
            <w:r w:rsidRPr="00736019">
              <w:rPr>
                <w:rStyle w:val="Hyperlink"/>
                <w:noProof/>
              </w:rPr>
              <w:t>Audit Objectives and Control Testing</w:t>
            </w:r>
            <w:r>
              <w:rPr>
                <w:noProof/>
                <w:webHidden/>
              </w:rPr>
              <w:tab/>
            </w:r>
            <w:r>
              <w:rPr>
                <w:noProof/>
                <w:webHidden/>
              </w:rPr>
              <w:fldChar w:fldCharType="begin"/>
            </w:r>
            <w:r>
              <w:rPr>
                <w:noProof/>
                <w:webHidden/>
              </w:rPr>
              <w:instrText xml:space="preserve"> PAGEREF _Toc212535231 \h </w:instrText>
            </w:r>
            <w:r>
              <w:rPr>
                <w:noProof/>
                <w:webHidden/>
              </w:rPr>
            </w:r>
            <w:r>
              <w:rPr>
                <w:noProof/>
                <w:webHidden/>
              </w:rPr>
              <w:fldChar w:fldCharType="separate"/>
            </w:r>
            <w:r w:rsidR="00026E1F">
              <w:rPr>
                <w:noProof/>
                <w:webHidden/>
              </w:rPr>
              <w:t>15</w:t>
            </w:r>
            <w:r>
              <w:rPr>
                <w:noProof/>
                <w:webHidden/>
              </w:rPr>
              <w:fldChar w:fldCharType="end"/>
            </w:r>
          </w:hyperlink>
        </w:p>
        <w:p w14:paraId="1562EF24" w14:textId="33B33A8E"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2" w:history="1">
            <w:r w:rsidRPr="0073601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_Toc212535232 \h </w:instrText>
            </w:r>
            <w:r>
              <w:rPr>
                <w:noProof/>
                <w:webHidden/>
              </w:rPr>
            </w:r>
            <w:r>
              <w:rPr>
                <w:noProof/>
                <w:webHidden/>
              </w:rPr>
              <w:fldChar w:fldCharType="separate"/>
            </w:r>
            <w:r w:rsidR="00026E1F">
              <w:rPr>
                <w:noProof/>
                <w:webHidden/>
              </w:rPr>
              <w:t>16</w:t>
            </w:r>
            <w:r>
              <w:rPr>
                <w:noProof/>
                <w:webHidden/>
              </w:rPr>
              <w:fldChar w:fldCharType="end"/>
            </w:r>
          </w:hyperlink>
        </w:p>
        <w:p w14:paraId="0F7CE557" w14:textId="36B48C24"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3" w:history="1">
            <w:r w:rsidRPr="00736019">
              <w:rPr>
                <w:rStyle w:val="Hyperlink"/>
                <w:rFonts w:cs="Arial"/>
                <w:noProof/>
              </w:rPr>
              <w:t>Audit Implications Summary</w:t>
            </w:r>
            <w:r>
              <w:rPr>
                <w:noProof/>
                <w:webHidden/>
              </w:rPr>
              <w:tab/>
            </w:r>
            <w:r>
              <w:rPr>
                <w:noProof/>
                <w:webHidden/>
              </w:rPr>
              <w:fldChar w:fldCharType="begin"/>
            </w:r>
            <w:r>
              <w:rPr>
                <w:noProof/>
                <w:webHidden/>
              </w:rPr>
              <w:instrText xml:space="preserve"> PAGEREF _Toc212535233 \h </w:instrText>
            </w:r>
            <w:r>
              <w:rPr>
                <w:noProof/>
                <w:webHidden/>
              </w:rPr>
            </w:r>
            <w:r>
              <w:rPr>
                <w:noProof/>
                <w:webHidden/>
              </w:rPr>
              <w:fldChar w:fldCharType="separate"/>
            </w:r>
            <w:r w:rsidR="00026E1F">
              <w:rPr>
                <w:noProof/>
                <w:webHidden/>
              </w:rPr>
              <w:t>17</w:t>
            </w:r>
            <w:r>
              <w:rPr>
                <w:noProof/>
                <w:webHidden/>
              </w:rPr>
              <w:fldChar w:fldCharType="end"/>
            </w:r>
          </w:hyperlink>
        </w:p>
        <w:p w14:paraId="4576E2FE" w14:textId="0FA87F64" w:rsidR="00A42391" w:rsidRDefault="00A42391">
          <w:pPr>
            <w:pStyle w:val="TOC2"/>
            <w:rPr>
              <w:rFonts w:asciiTheme="minorHAnsi" w:eastAsiaTheme="minorEastAsia" w:hAnsiTheme="minorHAnsi" w:cstheme="minorBidi"/>
              <w:bCs w:val="0"/>
              <w:kern w:val="2"/>
              <w:sz w:val="24"/>
              <w14:ligatures w14:val="standardContextual"/>
            </w:rPr>
          </w:pPr>
          <w:hyperlink w:anchor="_Toc212535234" w:history="1">
            <w:r w:rsidRPr="00736019">
              <w:rPr>
                <w:rStyle w:val="Hyperlink"/>
              </w:rPr>
              <w:t>B.  ALLOWABLE COSTS/COST PRINCIPLES</w:t>
            </w:r>
            <w:r>
              <w:rPr>
                <w:webHidden/>
              </w:rPr>
              <w:tab/>
            </w:r>
            <w:r>
              <w:rPr>
                <w:webHidden/>
              </w:rPr>
              <w:fldChar w:fldCharType="begin"/>
            </w:r>
            <w:r>
              <w:rPr>
                <w:webHidden/>
              </w:rPr>
              <w:instrText xml:space="preserve"> PAGEREF _Toc212535234 \h </w:instrText>
            </w:r>
            <w:r>
              <w:rPr>
                <w:webHidden/>
              </w:rPr>
            </w:r>
            <w:r>
              <w:rPr>
                <w:webHidden/>
              </w:rPr>
              <w:fldChar w:fldCharType="separate"/>
            </w:r>
            <w:r w:rsidR="00026E1F">
              <w:rPr>
                <w:webHidden/>
              </w:rPr>
              <w:t>18</w:t>
            </w:r>
            <w:r>
              <w:rPr>
                <w:webHidden/>
              </w:rPr>
              <w:fldChar w:fldCharType="end"/>
            </w:r>
          </w:hyperlink>
        </w:p>
        <w:p w14:paraId="7CEF0070" w14:textId="2E4403FC"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5" w:history="1">
            <w:r w:rsidRPr="00736019">
              <w:rPr>
                <w:rStyle w:val="Hyperlink"/>
                <w:rFonts w:cs="Arial"/>
                <w:noProof/>
              </w:rPr>
              <w:t>Applicability of Cost Principles</w:t>
            </w:r>
            <w:r>
              <w:rPr>
                <w:noProof/>
                <w:webHidden/>
              </w:rPr>
              <w:tab/>
            </w:r>
            <w:r>
              <w:rPr>
                <w:noProof/>
                <w:webHidden/>
              </w:rPr>
              <w:fldChar w:fldCharType="begin"/>
            </w:r>
            <w:r>
              <w:rPr>
                <w:noProof/>
                <w:webHidden/>
              </w:rPr>
              <w:instrText xml:space="preserve"> PAGEREF _Toc212535235 \h </w:instrText>
            </w:r>
            <w:r>
              <w:rPr>
                <w:noProof/>
                <w:webHidden/>
              </w:rPr>
            </w:r>
            <w:r>
              <w:rPr>
                <w:noProof/>
                <w:webHidden/>
              </w:rPr>
              <w:fldChar w:fldCharType="separate"/>
            </w:r>
            <w:r w:rsidR="00026E1F">
              <w:rPr>
                <w:noProof/>
                <w:webHidden/>
              </w:rPr>
              <w:t>19</w:t>
            </w:r>
            <w:r>
              <w:rPr>
                <w:noProof/>
                <w:webHidden/>
              </w:rPr>
              <w:fldChar w:fldCharType="end"/>
            </w:r>
          </w:hyperlink>
        </w:p>
        <w:p w14:paraId="77F0C48A" w14:textId="4C8BF14F"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6" w:history="1">
            <w:r w:rsidRPr="0073601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_Toc212535236 \h </w:instrText>
            </w:r>
            <w:r>
              <w:rPr>
                <w:noProof/>
                <w:webHidden/>
              </w:rPr>
            </w:r>
            <w:r>
              <w:rPr>
                <w:noProof/>
                <w:webHidden/>
              </w:rPr>
              <w:fldChar w:fldCharType="separate"/>
            </w:r>
            <w:r w:rsidR="00026E1F">
              <w:rPr>
                <w:noProof/>
                <w:webHidden/>
              </w:rPr>
              <w:t>22</w:t>
            </w:r>
            <w:r>
              <w:rPr>
                <w:noProof/>
                <w:webHidden/>
              </w:rPr>
              <w:fldChar w:fldCharType="end"/>
            </w:r>
          </w:hyperlink>
        </w:p>
        <w:p w14:paraId="6AB0EC13" w14:textId="11EAC6A7"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7" w:history="1">
            <w:r w:rsidRPr="00736019">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_Toc212535237 \h </w:instrText>
            </w:r>
            <w:r>
              <w:rPr>
                <w:noProof/>
                <w:webHidden/>
              </w:rPr>
            </w:r>
            <w:r>
              <w:rPr>
                <w:noProof/>
                <w:webHidden/>
              </w:rPr>
              <w:fldChar w:fldCharType="separate"/>
            </w:r>
            <w:r w:rsidR="00026E1F">
              <w:rPr>
                <w:noProof/>
                <w:webHidden/>
              </w:rPr>
              <w:t>22</w:t>
            </w:r>
            <w:r>
              <w:rPr>
                <w:noProof/>
                <w:webHidden/>
              </w:rPr>
              <w:fldChar w:fldCharType="end"/>
            </w:r>
          </w:hyperlink>
        </w:p>
        <w:p w14:paraId="205D7E2E" w14:textId="1C86179B"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8" w:history="1">
            <w:r w:rsidRPr="00736019">
              <w:rPr>
                <w:rStyle w:val="Hyperlink"/>
                <w:rFonts w:cs="Arial"/>
                <w:noProof/>
              </w:rPr>
              <w:t>OMB Compliance Requirements</w:t>
            </w:r>
            <w:r>
              <w:rPr>
                <w:noProof/>
                <w:webHidden/>
              </w:rPr>
              <w:tab/>
            </w:r>
            <w:r>
              <w:rPr>
                <w:noProof/>
                <w:webHidden/>
              </w:rPr>
              <w:fldChar w:fldCharType="begin"/>
            </w:r>
            <w:r>
              <w:rPr>
                <w:noProof/>
                <w:webHidden/>
              </w:rPr>
              <w:instrText xml:space="preserve"> PAGEREF _Toc212535238 \h </w:instrText>
            </w:r>
            <w:r>
              <w:rPr>
                <w:noProof/>
                <w:webHidden/>
              </w:rPr>
            </w:r>
            <w:r>
              <w:rPr>
                <w:noProof/>
                <w:webHidden/>
              </w:rPr>
              <w:fldChar w:fldCharType="separate"/>
            </w:r>
            <w:r w:rsidR="00026E1F">
              <w:rPr>
                <w:noProof/>
                <w:webHidden/>
              </w:rPr>
              <w:t>22</w:t>
            </w:r>
            <w:r>
              <w:rPr>
                <w:noProof/>
                <w:webHidden/>
              </w:rPr>
              <w:fldChar w:fldCharType="end"/>
            </w:r>
          </w:hyperlink>
        </w:p>
        <w:p w14:paraId="3DBE660E" w14:textId="1B0790D2"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39" w:history="1">
            <w:r w:rsidRPr="00736019">
              <w:rPr>
                <w:rStyle w:val="Hyperlink"/>
                <w:rFonts w:cs="Arial"/>
                <w:noProof/>
              </w:rPr>
              <w:t>Audit Implications Summary</w:t>
            </w:r>
            <w:r>
              <w:rPr>
                <w:noProof/>
                <w:webHidden/>
              </w:rPr>
              <w:tab/>
            </w:r>
            <w:r>
              <w:rPr>
                <w:noProof/>
                <w:webHidden/>
              </w:rPr>
              <w:fldChar w:fldCharType="begin"/>
            </w:r>
            <w:r>
              <w:rPr>
                <w:noProof/>
                <w:webHidden/>
              </w:rPr>
              <w:instrText xml:space="preserve"> PAGEREF _Toc212535239 \h </w:instrText>
            </w:r>
            <w:r>
              <w:rPr>
                <w:noProof/>
                <w:webHidden/>
              </w:rPr>
            </w:r>
            <w:r>
              <w:rPr>
                <w:noProof/>
                <w:webHidden/>
              </w:rPr>
              <w:fldChar w:fldCharType="separate"/>
            </w:r>
            <w:r w:rsidR="00026E1F">
              <w:rPr>
                <w:noProof/>
                <w:webHidden/>
              </w:rPr>
              <w:t>31</w:t>
            </w:r>
            <w:r>
              <w:rPr>
                <w:noProof/>
                <w:webHidden/>
              </w:rPr>
              <w:fldChar w:fldCharType="end"/>
            </w:r>
          </w:hyperlink>
        </w:p>
        <w:p w14:paraId="4C5DFB88" w14:textId="42D04E8A" w:rsidR="00A42391" w:rsidRDefault="00A42391">
          <w:pPr>
            <w:pStyle w:val="TOC2"/>
            <w:rPr>
              <w:rFonts w:asciiTheme="minorHAnsi" w:eastAsiaTheme="minorEastAsia" w:hAnsiTheme="minorHAnsi" w:cstheme="minorBidi"/>
              <w:bCs w:val="0"/>
              <w:kern w:val="2"/>
              <w:sz w:val="24"/>
              <w14:ligatures w14:val="standardContextual"/>
            </w:rPr>
          </w:pPr>
          <w:hyperlink w:anchor="_Toc212535240" w:history="1">
            <w:r w:rsidRPr="00736019">
              <w:rPr>
                <w:rStyle w:val="Hyperlink"/>
              </w:rPr>
              <w:t>C. CASH MANAGEMENT</w:t>
            </w:r>
            <w:r>
              <w:rPr>
                <w:webHidden/>
              </w:rPr>
              <w:tab/>
            </w:r>
            <w:r>
              <w:rPr>
                <w:webHidden/>
              </w:rPr>
              <w:fldChar w:fldCharType="begin"/>
            </w:r>
            <w:r>
              <w:rPr>
                <w:webHidden/>
              </w:rPr>
              <w:instrText xml:space="preserve"> PAGEREF _Toc212535240 \h </w:instrText>
            </w:r>
            <w:r>
              <w:rPr>
                <w:webHidden/>
              </w:rPr>
            </w:r>
            <w:r>
              <w:rPr>
                <w:webHidden/>
              </w:rPr>
              <w:fldChar w:fldCharType="separate"/>
            </w:r>
            <w:r w:rsidR="00026E1F">
              <w:rPr>
                <w:webHidden/>
              </w:rPr>
              <w:t>32</w:t>
            </w:r>
            <w:r>
              <w:rPr>
                <w:webHidden/>
              </w:rPr>
              <w:fldChar w:fldCharType="end"/>
            </w:r>
          </w:hyperlink>
        </w:p>
        <w:p w14:paraId="4C875F15" w14:textId="27C5D569"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1" w:history="1">
            <w:r w:rsidRPr="00736019">
              <w:rPr>
                <w:rStyle w:val="Hyperlink"/>
                <w:rFonts w:cs="Arial"/>
                <w:noProof/>
              </w:rPr>
              <w:t>OMB Compliance Requirements</w:t>
            </w:r>
            <w:r>
              <w:rPr>
                <w:noProof/>
                <w:webHidden/>
              </w:rPr>
              <w:tab/>
            </w:r>
            <w:r>
              <w:rPr>
                <w:noProof/>
                <w:webHidden/>
              </w:rPr>
              <w:fldChar w:fldCharType="begin"/>
            </w:r>
            <w:r>
              <w:rPr>
                <w:noProof/>
                <w:webHidden/>
              </w:rPr>
              <w:instrText xml:space="preserve"> PAGEREF _Toc212535241 \h </w:instrText>
            </w:r>
            <w:r>
              <w:rPr>
                <w:noProof/>
                <w:webHidden/>
              </w:rPr>
            </w:r>
            <w:r>
              <w:rPr>
                <w:noProof/>
                <w:webHidden/>
              </w:rPr>
              <w:fldChar w:fldCharType="separate"/>
            </w:r>
            <w:r w:rsidR="00026E1F">
              <w:rPr>
                <w:noProof/>
                <w:webHidden/>
              </w:rPr>
              <w:t>32</w:t>
            </w:r>
            <w:r>
              <w:rPr>
                <w:noProof/>
                <w:webHidden/>
              </w:rPr>
              <w:fldChar w:fldCharType="end"/>
            </w:r>
          </w:hyperlink>
        </w:p>
        <w:p w14:paraId="005777D5" w14:textId="51C3771C"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2" w:history="1">
            <w:r w:rsidRPr="0073601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_Toc212535242 \h </w:instrText>
            </w:r>
            <w:r>
              <w:rPr>
                <w:noProof/>
                <w:webHidden/>
              </w:rPr>
            </w:r>
            <w:r>
              <w:rPr>
                <w:noProof/>
                <w:webHidden/>
              </w:rPr>
              <w:fldChar w:fldCharType="separate"/>
            </w:r>
            <w:r w:rsidR="00026E1F">
              <w:rPr>
                <w:noProof/>
                <w:webHidden/>
              </w:rPr>
              <w:t>34</w:t>
            </w:r>
            <w:r>
              <w:rPr>
                <w:noProof/>
                <w:webHidden/>
              </w:rPr>
              <w:fldChar w:fldCharType="end"/>
            </w:r>
          </w:hyperlink>
        </w:p>
        <w:p w14:paraId="369CD9A1" w14:textId="0BD8FECF"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3" w:history="1">
            <w:r w:rsidRPr="0073601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_Toc212535243 \h </w:instrText>
            </w:r>
            <w:r>
              <w:rPr>
                <w:noProof/>
                <w:webHidden/>
              </w:rPr>
            </w:r>
            <w:r>
              <w:rPr>
                <w:noProof/>
                <w:webHidden/>
              </w:rPr>
              <w:fldChar w:fldCharType="separate"/>
            </w:r>
            <w:r w:rsidR="00026E1F">
              <w:rPr>
                <w:noProof/>
                <w:webHidden/>
              </w:rPr>
              <w:t>34</w:t>
            </w:r>
            <w:r>
              <w:rPr>
                <w:noProof/>
                <w:webHidden/>
              </w:rPr>
              <w:fldChar w:fldCharType="end"/>
            </w:r>
          </w:hyperlink>
        </w:p>
        <w:p w14:paraId="3A55D89F" w14:textId="1700AC81"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4" w:history="1">
            <w:r w:rsidRPr="0073601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_Toc212535244 \h </w:instrText>
            </w:r>
            <w:r>
              <w:rPr>
                <w:noProof/>
                <w:webHidden/>
              </w:rPr>
            </w:r>
            <w:r>
              <w:rPr>
                <w:noProof/>
                <w:webHidden/>
              </w:rPr>
              <w:fldChar w:fldCharType="separate"/>
            </w:r>
            <w:r w:rsidR="00026E1F">
              <w:rPr>
                <w:noProof/>
                <w:webHidden/>
              </w:rPr>
              <w:t>36</w:t>
            </w:r>
            <w:r>
              <w:rPr>
                <w:noProof/>
                <w:webHidden/>
              </w:rPr>
              <w:fldChar w:fldCharType="end"/>
            </w:r>
          </w:hyperlink>
        </w:p>
        <w:p w14:paraId="0A64198A" w14:textId="18C05BFA"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5" w:history="1">
            <w:r w:rsidRPr="00736019">
              <w:rPr>
                <w:rStyle w:val="Hyperlink"/>
                <w:rFonts w:cs="Arial"/>
                <w:noProof/>
              </w:rPr>
              <w:t>Audit Implications Summary</w:t>
            </w:r>
            <w:r>
              <w:rPr>
                <w:noProof/>
                <w:webHidden/>
              </w:rPr>
              <w:tab/>
            </w:r>
            <w:r>
              <w:rPr>
                <w:noProof/>
                <w:webHidden/>
              </w:rPr>
              <w:fldChar w:fldCharType="begin"/>
            </w:r>
            <w:r>
              <w:rPr>
                <w:noProof/>
                <w:webHidden/>
              </w:rPr>
              <w:instrText xml:space="preserve"> PAGEREF _Toc212535245 \h </w:instrText>
            </w:r>
            <w:r>
              <w:rPr>
                <w:noProof/>
                <w:webHidden/>
              </w:rPr>
            </w:r>
            <w:r>
              <w:rPr>
                <w:noProof/>
                <w:webHidden/>
              </w:rPr>
              <w:fldChar w:fldCharType="separate"/>
            </w:r>
            <w:r w:rsidR="00026E1F">
              <w:rPr>
                <w:noProof/>
                <w:webHidden/>
              </w:rPr>
              <w:t>37</w:t>
            </w:r>
            <w:r>
              <w:rPr>
                <w:noProof/>
                <w:webHidden/>
              </w:rPr>
              <w:fldChar w:fldCharType="end"/>
            </w:r>
          </w:hyperlink>
        </w:p>
        <w:p w14:paraId="3D348B70" w14:textId="08A86366" w:rsidR="00A42391" w:rsidRDefault="00A42391">
          <w:pPr>
            <w:pStyle w:val="TOC2"/>
            <w:rPr>
              <w:rFonts w:asciiTheme="minorHAnsi" w:eastAsiaTheme="minorEastAsia" w:hAnsiTheme="minorHAnsi" w:cstheme="minorBidi"/>
              <w:bCs w:val="0"/>
              <w:kern w:val="2"/>
              <w:sz w:val="24"/>
              <w14:ligatures w14:val="standardContextual"/>
            </w:rPr>
          </w:pPr>
          <w:hyperlink w:anchor="_Toc212535246" w:history="1">
            <w:r w:rsidRPr="00736019">
              <w:rPr>
                <w:rStyle w:val="Hyperlink"/>
              </w:rPr>
              <w:t>H.  PERIOD OF PERFORMANCE</w:t>
            </w:r>
            <w:r>
              <w:rPr>
                <w:webHidden/>
              </w:rPr>
              <w:tab/>
            </w:r>
            <w:r>
              <w:rPr>
                <w:webHidden/>
              </w:rPr>
              <w:fldChar w:fldCharType="begin"/>
            </w:r>
            <w:r>
              <w:rPr>
                <w:webHidden/>
              </w:rPr>
              <w:instrText xml:space="preserve"> PAGEREF _Toc212535246 \h </w:instrText>
            </w:r>
            <w:r>
              <w:rPr>
                <w:webHidden/>
              </w:rPr>
            </w:r>
            <w:r>
              <w:rPr>
                <w:webHidden/>
              </w:rPr>
              <w:fldChar w:fldCharType="separate"/>
            </w:r>
            <w:r w:rsidR="00026E1F">
              <w:rPr>
                <w:webHidden/>
              </w:rPr>
              <w:t>39</w:t>
            </w:r>
            <w:r>
              <w:rPr>
                <w:webHidden/>
              </w:rPr>
              <w:fldChar w:fldCharType="end"/>
            </w:r>
          </w:hyperlink>
        </w:p>
        <w:p w14:paraId="23D62C65" w14:textId="35D70A2E"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7" w:history="1">
            <w:r w:rsidRPr="00736019">
              <w:rPr>
                <w:rStyle w:val="Hyperlink"/>
                <w:rFonts w:cs="Arial"/>
                <w:noProof/>
              </w:rPr>
              <w:t>OMB Compliance Requirements</w:t>
            </w:r>
            <w:r>
              <w:rPr>
                <w:noProof/>
                <w:webHidden/>
              </w:rPr>
              <w:tab/>
            </w:r>
            <w:r>
              <w:rPr>
                <w:noProof/>
                <w:webHidden/>
              </w:rPr>
              <w:fldChar w:fldCharType="begin"/>
            </w:r>
            <w:r>
              <w:rPr>
                <w:noProof/>
                <w:webHidden/>
              </w:rPr>
              <w:instrText xml:space="preserve"> PAGEREF _Toc212535247 \h </w:instrText>
            </w:r>
            <w:r>
              <w:rPr>
                <w:noProof/>
                <w:webHidden/>
              </w:rPr>
            </w:r>
            <w:r>
              <w:rPr>
                <w:noProof/>
                <w:webHidden/>
              </w:rPr>
              <w:fldChar w:fldCharType="separate"/>
            </w:r>
            <w:r w:rsidR="00026E1F">
              <w:rPr>
                <w:noProof/>
                <w:webHidden/>
              </w:rPr>
              <w:t>39</w:t>
            </w:r>
            <w:r>
              <w:rPr>
                <w:noProof/>
                <w:webHidden/>
              </w:rPr>
              <w:fldChar w:fldCharType="end"/>
            </w:r>
          </w:hyperlink>
        </w:p>
        <w:p w14:paraId="6A71D6F6" w14:textId="790043DD"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8" w:history="1">
            <w:r w:rsidRPr="0073601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_Toc212535248 \h </w:instrText>
            </w:r>
            <w:r>
              <w:rPr>
                <w:noProof/>
                <w:webHidden/>
              </w:rPr>
            </w:r>
            <w:r>
              <w:rPr>
                <w:noProof/>
                <w:webHidden/>
              </w:rPr>
              <w:fldChar w:fldCharType="separate"/>
            </w:r>
            <w:r w:rsidR="00026E1F">
              <w:rPr>
                <w:noProof/>
                <w:webHidden/>
              </w:rPr>
              <w:t>40</w:t>
            </w:r>
            <w:r>
              <w:rPr>
                <w:noProof/>
                <w:webHidden/>
              </w:rPr>
              <w:fldChar w:fldCharType="end"/>
            </w:r>
          </w:hyperlink>
        </w:p>
        <w:p w14:paraId="2C508505" w14:textId="26D73DE7"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49" w:history="1">
            <w:r w:rsidRPr="0073601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_Toc212535249 \h </w:instrText>
            </w:r>
            <w:r>
              <w:rPr>
                <w:noProof/>
                <w:webHidden/>
              </w:rPr>
            </w:r>
            <w:r>
              <w:rPr>
                <w:noProof/>
                <w:webHidden/>
              </w:rPr>
              <w:fldChar w:fldCharType="separate"/>
            </w:r>
            <w:r w:rsidR="00026E1F">
              <w:rPr>
                <w:noProof/>
                <w:webHidden/>
              </w:rPr>
              <w:t>40</w:t>
            </w:r>
            <w:r>
              <w:rPr>
                <w:noProof/>
                <w:webHidden/>
              </w:rPr>
              <w:fldChar w:fldCharType="end"/>
            </w:r>
          </w:hyperlink>
        </w:p>
        <w:p w14:paraId="280BC8A4" w14:textId="77C29BF0"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0" w:history="1">
            <w:r w:rsidRPr="0073601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_Toc212535250 \h </w:instrText>
            </w:r>
            <w:r>
              <w:rPr>
                <w:noProof/>
                <w:webHidden/>
              </w:rPr>
            </w:r>
            <w:r>
              <w:rPr>
                <w:noProof/>
                <w:webHidden/>
              </w:rPr>
              <w:fldChar w:fldCharType="separate"/>
            </w:r>
            <w:r w:rsidR="00026E1F">
              <w:rPr>
                <w:noProof/>
                <w:webHidden/>
              </w:rPr>
              <w:t>41</w:t>
            </w:r>
            <w:r>
              <w:rPr>
                <w:noProof/>
                <w:webHidden/>
              </w:rPr>
              <w:fldChar w:fldCharType="end"/>
            </w:r>
          </w:hyperlink>
        </w:p>
        <w:p w14:paraId="671CFB6A" w14:textId="4C247347"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1" w:history="1">
            <w:r w:rsidRPr="00736019">
              <w:rPr>
                <w:rStyle w:val="Hyperlink"/>
                <w:rFonts w:cs="Arial"/>
                <w:noProof/>
              </w:rPr>
              <w:t>Audit Implications Summary</w:t>
            </w:r>
            <w:r>
              <w:rPr>
                <w:noProof/>
                <w:webHidden/>
              </w:rPr>
              <w:tab/>
            </w:r>
            <w:r>
              <w:rPr>
                <w:noProof/>
                <w:webHidden/>
              </w:rPr>
              <w:fldChar w:fldCharType="begin"/>
            </w:r>
            <w:r>
              <w:rPr>
                <w:noProof/>
                <w:webHidden/>
              </w:rPr>
              <w:instrText xml:space="preserve"> PAGEREF _Toc212535251 \h </w:instrText>
            </w:r>
            <w:r>
              <w:rPr>
                <w:noProof/>
                <w:webHidden/>
              </w:rPr>
            </w:r>
            <w:r>
              <w:rPr>
                <w:noProof/>
                <w:webHidden/>
              </w:rPr>
              <w:fldChar w:fldCharType="separate"/>
            </w:r>
            <w:r w:rsidR="00026E1F">
              <w:rPr>
                <w:noProof/>
                <w:webHidden/>
              </w:rPr>
              <w:t>42</w:t>
            </w:r>
            <w:r>
              <w:rPr>
                <w:noProof/>
                <w:webHidden/>
              </w:rPr>
              <w:fldChar w:fldCharType="end"/>
            </w:r>
          </w:hyperlink>
        </w:p>
        <w:p w14:paraId="5DE6086B" w14:textId="1417724A" w:rsidR="00A42391" w:rsidRDefault="00A42391">
          <w:pPr>
            <w:pStyle w:val="TOC2"/>
            <w:rPr>
              <w:rFonts w:asciiTheme="minorHAnsi" w:eastAsiaTheme="minorEastAsia" w:hAnsiTheme="minorHAnsi" w:cstheme="minorBidi"/>
              <w:bCs w:val="0"/>
              <w:kern w:val="2"/>
              <w:sz w:val="24"/>
              <w14:ligatures w14:val="standardContextual"/>
            </w:rPr>
          </w:pPr>
          <w:hyperlink w:anchor="_Toc212535252" w:history="1">
            <w:r w:rsidRPr="00736019">
              <w:rPr>
                <w:rStyle w:val="Hyperlink"/>
              </w:rPr>
              <w:t>L.  REPORTING</w:t>
            </w:r>
            <w:r>
              <w:rPr>
                <w:webHidden/>
              </w:rPr>
              <w:tab/>
            </w:r>
            <w:r>
              <w:rPr>
                <w:webHidden/>
              </w:rPr>
              <w:fldChar w:fldCharType="begin"/>
            </w:r>
            <w:r>
              <w:rPr>
                <w:webHidden/>
              </w:rPr>
              <w:instrText xml:space="preserve"> PAGEREF _Toc212535252 \h </w:instrText>
            </w:r>
            <w:r>
              <w:rPr>
                <w:webHidden/>
              </w:rPr>
            </w:r>
            <w:r>
              <w:rPr>
                <w:webHidden/>
              </w:rPr>
              <w:fldChar w:fldCharType="separate"/>
            </w:r>
            <w:r w:rsidR="00026E1F">
              <w:rPr>
                <w:webHidden/>
              </w:rPr>
              <w:t>43</w:t>
            </w:r>
            <w:r>
              <w:rPr>
                <w:webHidden/>
              </w:rPr>
              <w:fldChar w:fldCharType="end"/>
            </w:r>
          </w:hyperlink>
        </w:p>
        <w:p w14:paraId="5CDDD4D3" w14:textId="578BB412"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3" w:history="1">
            <w:r w:rsidRPr="00736019">
              <w:rPr>
                <w:rStyle w:val="Hyperlink"/>
                <w:rFonts w:cs="Arial"/>
                <w:noProof/>
              </w:rPr>
              <w:t>OMB Compliance Requirements</w:t>
            </w:r>
            <w:r>
              <w:rPr>
                <w:noProof/>
                <w:webHidden/>
              </w:rPr>
              <w:tab/>
            </w:r>
            <w:r>
              <w:rPr>
                <w:noProof/>
                <w:webHidden/>
              </w:rPr>
              <w:fldChar w:fldCharType="begin"/>
            </w:r>
            <w:r>
              <w:rPr>
                <w:noProof/>
                <w:webHidden/>
              </w:rPr>
              <w:instrText xml:space="preserve"> PAGEREF _Toc212535253 \h </w:instrText>
            </w:r>
            <w:r>
              <w:rPr>
                <w:noProof/>
                <w:webHidden/>
              </w:rPr>
            </w:r>
            <w:r>
              <w:rPr>
                <w:noProof/>
                <w:webHidden/>
              </w:rPr>
              <w:fldChar w:fldCharType="separate"/>
            </w:r>
            <w:r w:rsidR="00026E1F">
              <w:rPr>
                <w:noProof/>
                <w:webHidden/>
              </w:rPr>
              <w:t>43</w:t>
            </w:r>
            <w:r>
              <w:rPr>
                <w:noProof/>
                <w:webHidden/>
              </w:rPr>
              <w:fldChar w:fldCharType="end"/>
            </w:r>
          </w:hyperlink>
        </w:p>
        <w:p w14:paraId="453A8854" w14:textId="04BD5ECF"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4" w:history="1">
            <w:r w:rsidRPr="0073601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_Toc212535254 \h </w:instrText>
            </w:r>
            <w:r>
              <w:rPr>
                <w:noProof/>
                <w:webHidden/>
              </w:rPr>
            </w:r>
            <w:r>
              <w:rPr>
                <w:noProof/>
                <w:webHidden/>
              </w:rPr>
              <w:fldChar w:fldCharType="separate"/>
            </w:r>
            <w:r w:rsidR="00026E1F">
              <w:rPr>
                <w:noProof/>
                <w:webHidden/>
              </w:rPr>
              <w:t>45</w:t>
            </w:r>
            <w:r>
              <w:rPr>
                <w:noProof/>
                <w:webHidden/>
              </w:rPr>
              <w:fldChar w:fldCharType="end"/>
            </w:r>
          </w:hyperlink>
        </w:p>
        <w:p w14:paraId="718CEB02" w14:textId="6DC269C5"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5" w:history="1">
            <w:r w:rsidRPr="0073601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_Toc212535255 \h </w:instrText>
            </w:r>
            <w:r>
              <w:rPr>
                <w:noProof/>
                <w:webHidden/>
              </w:rPr>
            </w:r>
            <w:r>
              <w:rPr>
                <w:noProof/>
                <w:webHidden/>
              </w:rPr>
              <w:fldChar w:fldCharType="separate"/>
            </w:r>
            <w:r w:rsidR="00026E1F">
              <w:rPr>
                <w:noProof/>
                <w:webHidden/>
              </w:rPr>
              <w:t>45</w:t>
            </w:r>
            <w:r>
              <w:rPr>
                <w:noProof/>
                <w:webHidden/>
              </w:rPr>
              <w:fldChar w:fldCharType="end"/>
            </w:r>
          </w:hyperlink>
        </w:p>
        <w:p w14:paraId="4620AC87" w14:textId="0B80A5B3"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6" w:history="1">
            <w:r w:rsidRPr="0073601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_Toc212535256 \h </w:instrText>
            </w:r>
            <w:r>
              <w:rPr>
                <w:noProof/>
                <w:webHidden/>
              </w:rPr>
            </w:r>
            <w:r>
              <w:rPr>
                <w:noProof/>
                <w:webHidden/>
              </w:rPr>
              <w:fldChar w:fldCharType="separate"/>
            </w:r>
            <w:r w:rsidR="00026E1F">
              <w:rPr>
                <w:noProof/>
                <w:webHidden/>
              </w:rPr>
              <w:t>46</w:t>
            </w:r>
            <w:r>
              <w:rPr>
                <w:noProof/>
                <w:webHidden/>
              </w:rPr>
              <w:fldChar w:fldCharType="end"/>
            </w:r>
          </w:hyperlink>
        </w:p>
        <w:p w14:paraId="6E879A2C" w14:textId="0C886240" w:rsidR="00A42391" w:rsidRDefault="00A42391">
          <w:pPr>
            <w:pStyle w:val="TOC3"/>
            <w:rPr>
              <w:rFonts w:asciiTheme="minorHAnsi" w:eastAsiaTheme="minorEastAsia" w:hAnsiTheme="minorHAnsi" w:cstheme="minorBidi"/>
              <w:b w:val="0"/>
              <w:noProof/>
              <w:kern w:val="2"/>
              <w:sz w:val="24"/>
              <w:szCs w:val="24"/>
              <w14:ligatures w14:val="standardContextual"/>
            </w:rPr>
          </w:pPr>
          <w:hyperlink w:anchor="_Toc212535257" w:history="1">
            <w:r w:rsidRPr="00736019">
              <w:rPr>
                <w:rStyle w:val="Hyperlink"/>
                <w:rFonts w:cs="Arial"/>
                <w:noProof/>
              </w:rPr>
              <w:t>Audit Implications Summary</w:t>
            </w:r>
            <w:r>
              <w:rPr>
                <w:noProof/>
                <w:webHidden/>
              </w:rPr>
              <w:tab/>
            </w:r>
            <w:r>
              <w:rPr>
                <w:noProof/>
                <w:webHidden/>
              </w:rPr>
              <w:fldChar w:fldCharType="begin"/>
            </w:r>
            <w:r>
              <w:rPr>
                <w:noProof/>
                <w:webHidden/>
              </w:rPr>
              <w:instrText xml:space="preserve"> PAGEREF _Toc212535257 \h </w:instrText>
            </w:r>
            <w:r>
              <w:rPr>
                <w:noProof/>
                <w:webHidden/>
              </w:rPr>
            </w:r>
            <w:r>
              <w:rPr>
                <w:noProof/>
                <w:webHidden/>
              </w:rPr>
              <w:fldChar w:fldCharType="separate"/>
            </w:r>
            <w:r w:rsidR="00026E1F">
              <w:rPr>
                <w:noProof/>
                <w:webHidden/>
              </w:rPr>
              <w:t>48</w:t>
            </w:r>
            <w:r>
              <w:rPr>
                <w:noProof/>
                <w:webHidden/>
              </w:rPr>
              <w:fldChar w:fldCharType="end"/>
            </w:r>
          </w:hyperlink>
        </w:p>
        <w:p w14:paraId="63326FBC" w14:textId="49129852" w:rsidR="00A42391" w:rsidRDefault="00A42391">
          <w:pPr>
            <w:pStyle w:val="TOC2"/>
            <w:rPr>
              <w:rFonts w:asciiTheme="minorHAnsi" w:eastAsiaTheme="minorEastAsia" w:hAnsiTheme="minorHAnsi" w:cstheme="minorBidi"/>
              <w:bCs w:val="0"/>
              <w:kern w:val="2"/>
              <w:sz w:val="24"/>
              <w14:ligatures w14:val="standardContextual"/>
            </w:rPr>
          </w:pPr>
          <w:hyperlink w:anchor="_Toc212535258" w:history="1">
            <w:r w:rsidRPr="00736019">
              <w:rPr>
                <w:rStyle w:val="Hyperlink"/>
              </w:rPr>
              <w:t>Program Testing Conclusion</w:t>
            </w:r>
            <w:r>
              <w:rPr>
                <w:webHidden/>
              </w:rPr>
              <w:tab/>
            </w:r>
            <w:r>
              <w:rPr>
                <w:webHidden/>
              </w:rPr>
              <w:fldChar w:fldCharType="begin"/>
            </w:r>
            <w:r>
              <w:rPr>
                <w:webHidden/>
              </w:rPr>
              <w:instrText xml:space="preserve"> PAGEREF _Toc212535258 \h </w:instrText>
            </w:r>
            <w:r>
              <w:rPr>
                <w:webHidden/>
              </w:rPr>
            </w:r>
            <w:r>
              <w:rPr>
                <w:webHidden/>
              </w:rPr>
              <w:fldChar w:fldCharType="separate"/>
            </w:r>
            <w:r w:rsidR="00026E1F">
              <w:rPr>
                <w:webHidden/>
              </w:rPr>
              <w:t>49</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4484DE3E"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535218"/>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535219"/>
      <w:r w:rsidRPr="00A0464C">
        <w:rPr>
          <w:rFonts w:cs="Arial"/>
          <w:sz w:val="24"/>
          <w:szCs w:val="24"/>
        </w:rPr>
        <w:t>I. Program Objectives</w:t>
      </w:r>
      <w:bookmarkEnd w:id="11"/>
    </w:p>
    <w:p w14:paraId="152A8DA2" w14:textId="77777777" w:rsidR="00196E8C" w:rsidRPr="00196E8C" w:rsidRDefault="00196E8C" w:rsidP="00196E8C">
      <w:pPr>
        <w:pStyle w:val="BodyText"/>
        <w:spacing w:before="229"/>
        <w:jc w:val="both"/>
        <w:rPr>
          <w:rFonts w:ascii="Arial" w:hAnsi="Arial" w:cs="Arial"/>
        </w:rPr>
      </w:pPr>
      <w:r w:rsidRPr="00196E8C">
        <w:rPr>
          <w:rFonts w:ascii="Arial" w:hAnsi="Arial" w:cs="Arial"/>
        </w:rPr>
        <w:t>The primary objective of the Capital Fund Program (CFP) is to make assistance available to public housing agencies (PHAs) to carry out capital and management improvement activities. The CFP can also be used for demolition, resident relocation, resident economic development, security, financing costs, and homeownership. The CFP is the major source of funding made available by HUD to PHAs for their capital activities, including modernization and development of public housing.</w:t>
      </w:r>
    </w:p>
    <w:p w14:paraId="1C884C35" w14:textId="77777777" w:rsidR="00196E8C" w:rsidRPr="00196E8C" w:rsidRDefault="00196E8C" w:rsidP="00196E8C">
      <w:pPr>
        <w:pStyle w:val="BodyText"/>
        <w:jc w:val="both"/>
        <w:rPr>
          <w:rFonts w:ascii="Arial" w:hAnsi="Arial" w:cs="Arial"/>
        </w:rPr>
      </w:pPr>
      <w:r w:rsidRPr="00196E8C">
        <w:rPr>
          <w:rFonts w:ascii="Arial" w:hAnsi="Arial" w:cs="Arial"/>
        </w:rPr>
        <w:t>The objectives of modernization activities are the repair/replacement of aging building systems and the improvement of the physical condition of existing public housing developments, including the redesign, reconstruction, addition, and reconfiguration of public housing sites, buildings, facilities and/or related appurtenances or improvements (including accessibility improvements).</w:t>
      </w:r>
    </w:p>
    <w:p w14:paraId="33E04441" w14:textId="77777777" w:rsidR="00196E8C" w:rsidRPr="00196E8C" w:rsidRDefault="00196E8C" w:rsidP="00196E8C">
      <w:pPr>
        <w:pStyle w:val="BodyText"/>
        <w:jc w:val="both"/>
        <w:rPr>
          <w:rFonts w:ascii="Arial" w:hAnsi="Arial" w:cs="Arial"/>
        </w:rPr>
      </w:pPr>
      <w:r w:rsidRPr="00196E8C">
        <w:rPr>
          <w:rFonts w:ascii="Arial" w:hAnsi="Arial" w:cs="Arial"/>
        </w:rPr>
        <w:t>The objectives of management improvement activities are to upgrade the operation of public housing developments, sustain physical improvements at those developments, or correct management deficiencies.</w:t>
      </w:r>
    </w:p>
    <w:p w14:paraId="3DA73187" w14:textId="77777777" w:rsidR="00196E8C" w:rsidRPr="00196E8C" w:rsidRDefault="00196E8C" w:rsidP="00196E8C">
      <w:pPr>
        <w:pStyle w:val="BodyText"/>
        <w:jc w:val="both"/>
        <w:rPr>
          <w:rFonts w:ascii="Arial" w:hAnsi="Arial" w:cs="Arial"/>
        </w:rPr>
      </w:pPr>
      <w:r w:rsidRPr="00196E8C">
        <w:rPr>
          <w:rFonts w:ascii="Arial" w:hAnsi="Arial" w:cs="Arial"/>
        </w:rPr>
        <w:t>The objective of development activities is to provide PHAs with the opportunity to replace, build, or acquire existing units to house low-income families, including costs for planning, financing,</w:t>
      </w:r>
      <w:r w:rsidRPr="00196E8C">
        <w:rPr>
          <w:rFonts w:ascii="Arial" w:hAnsi="Arial" w:cs="Arial"/>
          <w:spacing w:val="-28"/>
        </w:rPr>
        <w:t xml:space="preserve"> </w:t>
      </w:r>
      <w:r w:rsidRPr="00196E8C">
        <w:rPr>
          <w:rFonts w:ascii="Arial" w:hAnsi="Arial" w:cs="Arial"/>
        </w:rPr>
        <w:t>land acquisition,</w:t>
      </w:r>
      <w:r w:rsidRPr="00196E8C">
        <w:rPr>
          <w:rFonts w:ascii="Arial" w:hAnsi="Arial" w:cs="Arial"/>
          <w:spacing w:val="-6"/>
        </w:rPr>
        <w:t xml:space="preserve"> </w:t>
      </w:r>
      <w:r w:rsidRPr="00196E8C">
        <w:rPr>
          <w:rFonts w:ascii="Arial" w:hAnsi="Arial" w:cs="Arial"/>
        </w:rPr>
        <w:t>demolition,</w:t>
      </w:r>
      <w:r w:rsidRPr="00196E8C">
        <w:rPr>
          <w:rFonts w:ascii="Arial" w:hAnsi="Arial" w:cs="Arial"/>
          <w:spacing w:val="-6"/>
        </w:rPr>
        <w:t xml:space="preserve"> </w:t>
      </w:r>
      <w:r w:rsidRPr="00196E8C">
        <w:rPr>
          <w:rFonts w:ascii="Arial" w:hAnsi="Arial" w:cs="Arial"/>
        </w:rPr>
        <w:t>and</w:t>
      </w:r>
      <w:r w:rsidRPr="00196E8C">
        <w:rPr>
          <w:rFonts w:ascii="Arial" w:hAnsi="Arial" w:cs="Arial"/>
          <w:spacing w:val="-5"/>
        </w:rPr>
        <w:t xml:space="preserve"> </w:t>
      </w:r>
      <w:r w:rsidRPr="00196E8C">
        <w:rPr>
          <w:rFonts w:ascii="Arial" w:hAnsi="Arial" w:cs="Arial"/>
        </w:rPr>
        <w:t>construction.</w:t>
      </w:r>
      <w:r w:rsidRPr="00196E8C">
        <w:rPr>
          <w:rFonts w:ascii="Arial" w:hAnsi="Arial" w:cs="Arial"/>
          <w:spacing w:val="-5"/>
        </w:rPr>
        <w:t xml:space="preserve"> </w:t>
      </w:r>
      <w:r w:rsidRPr="00196E8C">
        <w:rPr>
          <w:rFonts w:ascii="Arial" w:hAnsi="Arial" w:cs="Arial"/>
        </w:rPr>
        <w:t>PHAs</w:t>
      </w:r>
      <w:r w:rsidRPr="00196E8C">
        <w:rPr>
          <w:rFonts w:ascii="Arial" w:hAnsi="Arial" w:cs="Arial"/>
          <w:spacing w:val="-5"/>
        </w:rPr>
        <w:t xml:space="preserve"> </w:t>
      </w:r>
      <w:r w:rsidRPr="00196E8C">
        <w:rPr>
          <w:rFonts w:ascii="Arial" w:hAnsi="Arial" w:cs="Arial"/>
        </w:rPr>
        <w:t>are</w:t>
      </w:r>
      <w:r w:rsidRPr="00196E8C">
        <w:rPr>
          <w:rFonts w:ascii="Arial" w:hAnsi="Arial" w:cs="Arial"/>
          <w:spacing w:val="-6"/>
        </w:rPr>
        <w:t xml:space="preserve"> </w:t>
      </w:r>
      <w:r w:rsidRPr="00196E8C">
        <w:rPr>
          <w:rFonts w:ascii="Arial" w:hAnsi="Arial" w:cs="Arial"/>
        </w:rPr>
        <w:t>able</w:t>
      </w:r>
      <w:r w:rsidRPr="00196E8C">
        <w:rPr>
          <w:rFonts w:ascii="Arial" w:hAnsi="Arial" w:cs="Arial"/>
          <w:spacing w:val="-5"/>
        </w:rPr>
        <w:t xml:space="preserve"> </w:t>
      </w:r>
      <w:r w:rsidRPr="00196E8C">
        <w:rPr>
          <w:rFonts w:ascii="Arial" w:hAnsi="Arial" w:cs="Arial"/>
        </w:rPr>
        <w:t>to</w:t>
      </w:r>
      <w:r w:rsidRPr="00196E8C">
        <w:rPr>
          <w:rFonts w:ascii="Arial" w:hAnsi="Arial" w:cs="Arial"/>
          <w:spacing w:val="-6"/>
        </w:rPr>
        <w:t xml:space="preserve"> </w:t>
      </w:r>
      <w:r w:rsidRPr="00196E8C">
        <w:rPr>
          <w:rFonts w:ascii="Arial" w:hAnsi="Arial" w:cs="Arial"/>
        </w:rPr>
        <w:t>build</w:t>
      </w:r>
      <w:r w:rsidRPr="00196E8C">
        <w:rPr>
          <w:rFonts w:ascii="Arial" w:hAnsi="Arial" w:cs="Arial"/>
          <w:spacing w:val="-5"/>
        </w:rPr>
        <w:t xml:space="preserve"> </w:t>
      </w:r>
      <w:r w:rsidRPr="00196E8C">
        <w:rPr>
          <w:rFonts w:ascii="Arial" w:hAnsi="Arial" w:cs="Arial"/>
        </w:rPr>
        <w:t>or</w:t>
      </w:r>
      <w:r w:rsidRPr="00196E8C">
        <w:rPr>
          <w:rFonts w:ascii="Arial" w:hAnsi="Arial" w:cs="Arial"/>
          <w:spacing w:val="-5"/>
        </w:rPr>
        <w:t xml:space="preserve"> </w:t>
      </w:r>
      <w:r w:rsidRPr="00196E8C">
        <w:rPr>
          <w:rFonts w:ascii="Arial" w:hAnsi="Arial" w:cs="Arial"/>
        </w:rPr>
        <w:t>acquire</w:t>
      </w:r>
      <w:r w:rsidRPr="00196E8C">
        <w:rPr>
          <w:rFonts w:ascii="Arial" w:hAnsi="Arial" w:cs="Arial"/>
          <w:spacing w:val="-6"/>
        </w:rPr>
        <w:t xml:space="preserve"> </w:t>
      </w:r>
      <w:r w:rsidRPr="00196E8C">
        <w:rPr>
          <w:rFonts w:ascii="Arial" w:hAnsi="Arial" w:cs="Arial"/>
        </w:rPr>
        <w:t>units</w:t>
      </w:r>
      <w:r w:rsidRPr="00196E8C">
        <w:rPr>
          <w:rFonts w:ascii="Arial" w:hAnsi="Arial" w:cs="Arial"/>
          <w:spacing w:val="-1"/>
        </w:rPr>
        <w:t xml:space="preserve"> </w:t>
      </w:r>
      <w:r w:rsidRPr="00196E8C">
        <w:rPr>
          <w:rFonts w:ascii="Arial" w:hAnsi="Arial" w:cs="Arial"/>
        </w:rPr>
        <w:t>up</w:t>
      </w:r>
      <w:r w:rsidRPr="00196E8C">
        <w:rPr>
          <w:rFonts w:ascii="Arial" w:hAnsi="Arial" w:cs="Arial"/>
          <w:spacing w:val="-3"/>
        </w:rPr>
        <w:t xml:space="preserve"> </w:t>
      </w:r>
      <w:r w:rsidRPr="00196E8C">
        <w:rPr>
          <w:rFonts w:ascii="Arial" w:hAnsi="Arial" w:cs="Arial"/>
        </w:rPr>
        <w:t>to</w:t>
      </w:r>
      <w:r w:rsidRPr="00196E8C">
        <w:rPr>
          <w:rFonts w:ascii="Arial" w:hAnsi="Arial" w:cs="Arial"/>
          <w:spacing w:val="-3"/>
        </w:rPr>
        <w:t xml:space="preserve"> </w:t>
      </w:r>
      <w:r w:rsidRPr="00196E8C">
        <w:rPr>
          <w:rFonts w:ascii="Arial" w:hAnsi="Arial" w:cs="Arial"/>
        </w:rPr>
        <w:t>the</w:t>
      </w:r>
      <w:r w:rsidRPr="00196E8C">
        <w:rPr>
          <w:rFonts w:ascii="Arial" w:hAnsi="Arial" w:cs="Arial"/>
          <w:spacing w:val="-1"/>
        </w:rPr>
        <w:t xml:space="preserve"> </w:t>
      </w:r>
      <w:r w:rsidRPr="00196E8C">
        <w:rPr>
          <w:rFonts w:ascii="Arial" w:hAnsi="Arial" w:cs="Arial"/>
        </w:rPr>
        <w:t>Faircloth limits. The Faircloth limits for PHAs are updated annually and posted on the Office of Capital Improvements website</w:t>
      </w:r>
      <w:r w:rsidRPr="00196E8C">
        <w:rPr>
          <w:rFonts w:ascii="Arial" w:hAnsi="Arial" w:cs="Arial"/>
          <w:spacing w:val="-1"/>
        </w:rPr>
        <w:t xml:space="preserve"> </w:t>
      </w:r>
      <w:r w:rsidRPr="00196E8C">
        <w:rPr>
          <w:rFonts w:ascii="Arial" w:hAnsi="Arial" w:cs="Arial"/>
        </w:rPr>
        <w:t xml:space="preserve">here: </w:t>
      </w:r>
      <w:hyperlink r:id="rId29">
        <w:r w:rsidRPr="00196E8C">
          <w:rPr>
            <w:rFonts w:ascii="Arial" w:hAnsi="Arial" w:cs="Arial"/>
            <w:color w:val="0000FF"/>
            <w:u w:val="single" w:color="0000FF"/>
          </w:rPr>
          <w:t>Office of Capital Improvements | HUD.gov / U.S. Department of Housing and Urban Development</w:t>
        </w:r>
      </w:hyperlink>
      <w:r w:rsidRPr="00196E8C">
        <w:rPr>
          <w:rFonts w:ascii="Arial" w:hAnsi="Arial" w:cs="Arial"/>
          <w:color w:val="0000FF"/>
        </w:rPr>
        <w:t xml:space="preserve"> </w:t>
      </w:r>
      <w:hyperlink r:id="rId30">
        <w:r w:rsidRPr="00196E8C">
          <w:rPr>
            <w:rFonts w:ascii="Arial" w:hAnsi="Arial" w:cs="Arial"/>
            <w:color w:val="0000FF"/>
            <w:u w:val="single" w:color="0000FF"/>
          </w:rPr>
          <w:t>(HUD)</w:t>
        </w:r>
      </w:hyperlink>
    </w:p>
    <w:p w14:paraId="5223DF8F" w14:textId="77777777" w:rsidR="00196E8C" w:rsidRDefault="00196E8C" w:rsidP="00196E8C">
      <w:pPr>
        <w:pStyle w:val="BodyText"/>
        <w:spacing w:after="0"/>
        <w:jc w:val="both"/>
        <w:rPr>
          <w:rFonts w:ascii="Arial" w:hAnsi="Arial" w:cs="Arial"/>
        </w:rPr>
      </w:pPr>
      <w:r w:rsidRPr="00196E8C">
        <w:rPr>
          <w:rFonts w:ascii="Arial" w:hAnsi="Arial" w:cs="Arial"/>
        </w:rPr>
        <w:t xml:space="preserve">The current Faircloth limits for PHAs are posted here: </w:t>
      </w:r>
    </w:p>
    <w:p w14:paraId="454450C8" w14:textId="77777777" w:rsidR="00196E8C" w:rsidRDefault="00196E8C" w:rsidP="00196E8C">
      <w:pPr>
        <w:pStyle w:val="BodyText"/>
        <w:spacing w:before="90" w:after="0"/>
        <w:jc w:val="both"/>
        <w:rPr>
          <w:rFonts w:ascii="Arial" w:hAnsi="Arial" w:cs="Arial"/>
          <w:color w:val="0000FF"/>
          <w:u w:val="single" w:color="0000FF"/>
        </w:rPr>
      </w:pPr>
      <w:hyperlink r:id="rId31" w:history="1">
        <w:r w:rsidRPr="00EE0743">
          <w:rPr>
            <w:rStyle w:val="Hyperlink"/>
            <w:rFonts w:cs="Arial"/>
          </w:rPr>
          <w:t>https://www.hud.gov/sites/dfiles/PIH/documents/Faircloth%20List_10-15-23_FINAL2.xlsx</w:t>
        </w:r>
      </w:hyperlink>
    </w:p>
    <w:p w14:paraId="68DBEEB5" w14:textId="77777777" w:rsidR="00196E8C" w:rsidRDefault="00196E8C" w:rsidP="00196E8C">
      <w:pPr>
        <w:pStyle w:val="BodyText"/>
        <w:spacing w:before="90" w:after="0"/>
        <w:jc w:val="both"/>
        <w:rPr>
          <w:rFonts w:ascii="Arial" w:hAnsi="Arial" w:cs="Arial"/>
          <w:color w:val="0000FF"/>
          <w:u w:val="single" w:color="0000FF"/>
        </w:rPr>
      </w:pPr>
    </w:p>
    <w:p w14:paraId="58617EBA" w14:textId="77777777" w:rsidR="00196E8C" w:rsidRPr="00196E8C" w:rsidRDefault="00196E8C" w:rsidP="00196E8C">
      <w:pPr>
        <w:spacing w:after="240"/>
        <w:jc w:val="both"/>
        <w:rPr>
          <w:rFonts w:ascii="Arial" w:hAnsi="Arial" w:cs="Arial"/>
          <w:bCs/>
          <w:i/>
          <w:iCs/>
        </w:rPr>
      </w:pPr>
      <w:bookmarkStart w:id="12" w:name="_Hlk121591662"/>
      <w:r>
        <w:rPr>
          <w:rFonts w:ascii="Arial" w:hAnsi="Arial" w:cs="Arial"/>
          <w:bCs/>
          <w:i/>
          <w:iCs/>
        </w:rPr>
        <w:t>(Source: 2025 OMB Compliance Supplement, Part 4, HUD, #14.872 Public Housing Capital Fund)</w:t>
      </w:r>
      <w:bookmarkEnd w:id="12"/>
    </w:p>
    <w:p w14:paraId="222D14D9" w14:textId="77777777" w:rsidR="009656BB" w:rsidRPr="00A0464C" w:rsidRDefault="009656BB" w:rsidP="006672EA">
      <w:pPr>
        <w:pStyle w:val="Heading3"/>
        <w:jc w:val="both"/>
        <w:rPr>
          <w:rFonts w:cs="Arial"/>
          <w:sz w:val="24"/>
          <w:szCs w:val="24"/>
        </w:rPr>
      </w:pPr>
      <w:bookmarkStart w:id="13" w:name="_Toc212535220"/>
      <w:r w:rsidRPr="00A0464C">
        <w:rPr>
          <w:rFonts w:cs="Arial"/>
          <w:sz w:val="24"/>
          <w:szCs w:val="24"/>
        </w:rPr>
        <w:t>II. Program Procedures</w:t>
      </w:r>
      <w:bookmarkEnd w:id="13"/>
    </w:p>
    <w:p w14:paraId="353B32B4" w14:textId="77777777" w:rsidR="00196E8C" w:rsidRPr="00EB00FD" w:rsidRDefault="00196E8C" w:rsidP="00196E8C">
      <w:pPr>
        <w:widowControl w:val="0"/>
        <w:numPr>
          <w:ilvl w:val="1"/>
          <w:numId w:val="69"/>
        </w:numPr>
        <w:tabs>
          <w:tab w:val="left" w:pos="720"/>
        </w:tabs>
        <w:autoSpaceDE w:val="0"/>
        <w:autoSpaceDN w:val="0"/>
        <w:ind w:left="720"/>
        <w:jc w:val="both"/>
        <w:rPr>
          <w:rFonts w:ascii="Arial" w:hAnsi="Arial" w:cs="Arial"/>
          <w:b/>
        </w:rPr>
      </w:pPr>
      <w:r w:rsidRPr="00EB00FD">
        <w:rPr>
          <w:rFonts w:ascii="Arial" w:hAnsi="Arial" w:cs="Arial"/>
          <w:b/>
          <w:spacing w:val="-3"/>
        </w:rPr>
        <w:t>Overview</w:t>
      </w:r>
    </w:p>
    <w:p w14:paraId="3B14F523" w14:textId="77777777" w:rsidR="00196E8C" w:rsidRPr="00EB00FD" w:rsidRDefault="00196E8C" w:rsidP="00196E8C">
      <w:pPr>
        <w:widowControl w:val="0"/>
        <w:autoSpaceDE w:val="0"/>
        <w:autoSpaceDN w:val="0"/>
        <w:jc w:val="both"/>
        <w:rPr>
          <w:rFonts w:ascii="Arial" w:hAnsi="Arial" w:cs="Arial"/>
          <w:b/>
        </w:rPr>
      </w:pPr>
    </w:p>
    <w:p w14:paraId="2E0D2013"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The CFP awards formula grants and several set aside specialty grants. CFP formula grants account for over 95 percent of CFP annual awards. CFP formula grants are made available to all PHAs that administer public housing units, based on a complex formula, which takes into account a number of variables related to unit characteristics and, ultimately, multiplies a per-unit amount by the number of units in the PHA. PHAs can use formula grants for any eligible Capital Fund</w:t>
      </w:r>
      <w:r w:rsidRPr="00EB00FD">
        <w:rPr>
          <w:rFonts w:ascii="Arial" w:hAnsi="Arial" w:cs="Arial"/>
          <w:spacing w:val="-1"/>
        </w:rPr>
        <w:t xml:space="preserve"> </w:t>
      </w:r>
      <w:r w:rsidRPr="00EB00FD">
        <w:rPr>
          <w:rFonts w:ascii="Arial" w:hAnsi="Arial" w:cs="Arial"/>
        </w:rPr>
        <w:t>activity.</w:t>
      </w:r>
    </w:p>
    <w:p w14:paraId="48944302" w14:textId="77777777" w:rsidR="00196E8C" w:rsidRPr="00EB00FD" w:rsidRDefault="00196E8C" w:rsidP="00AE286E">
      <w:pPr>
        <w:widowControl w:val="0"/>
        <w:autoSpaceDE w:val="0"/>
        <w:autoSpaceDN w:val="0"/>
        <w:spacing w:before="10"/>
        <w:jc w:val="both"/>
        <w:rPr>
          <w:rFonts w:ascii="Arial" w:hAnsi="Arial" w:cs="Arial"/>
        </w:rPr>
      </w:pPr>
    </w:p>
    <w:p w14:paraId="7ADB6FDA" w14:textId="77777777" w:rsidR="00196E8C" w:rsidRPr="00EB00FD" w:rsidRDefault="00196E8C" w:rsidP="00AE286E">
      <w:pPr>
        <w:widowControl w:val="0"/>
        <w:autoSpaceDE w:val="0"/>
        <w:autoSpaceDN w:val="0"/>
        <w:spacing w:before="1"/>
        <w:ind w:left="720"/>
        <w:jc w:val="both"/>
        <w:rPr>
          <w:rFonts w:ascii="Arial" w:hAnsi="Arial" w:cs="Arial"/>
        </w:rPr>
      </w:pPr>
      <w:r w:rsidRPr="00EB00FD">
        <w:rPr>
          <w:rFonts w:ascii="Arial" w:hAnsi="Arial" w:cs="Arial"/>
        </w:rPr>
        <w:t>The CFP also awards several set-aside specialty grants including Emergency/Disaster, Emergency/Disaster-Safety and Security, Emergency/Disaster-Carbon Monoxide, Housing-Related Hazards, and Lead- Based Paint grants. The CFP also contains the Capital Fund Financing Program (CFFP), and this financing program is described below.</w:t>
      </w:r>
    </w:p>
    <w:p w14:paraId="4F5EED03" w14:textId="77777777" w:rsidR="00196E8C" w:rsidRPr="00EB00FD" w:rsidRDefault="00196E8C" w:rsidP="00AE286E">
      <w:pPr>
        <w:widowControl w:val="0"/>
        <w:autoSpaceDE w:val="0"/>
        <w:autoSpaceDN w:val="0"/>
        <w:spacing w:before="230"/>
        <w:ind w:left="720"/>
        <w:jc w:val="both"/>
        <w:rPr>
          <w:rFonts w:ascii="Arial" w:hAnsi="Arial" w:cs="Arial"/>
        </w:rPr>
      </w:pPr>
      <w:r w:rsidRPr="00EB00FD">
        <w:rPr>
          <w:rFonts w:ascii="Arial" w:hAnsi="Arial" w:cs="Arial"/>
        </w:rPr>
        <w:t>For Emergency/Disaster grants, Congress has set aside an annual average of $20 million within the Capital Fund account to assist PHAs that have incurred damage to their public housing units as a result of an emergency or non-presidentially declared natural disaster. PHAs submit an application for this funding. The funding is allocated based on the order in which the Department of Housing and Urban Development (HUD) receives approvable applications.</w:t>
      </w:r>
    </w:p>
    <w:p w14:paraId="07B77ECF" w14:textId="77777777" w:rsidR="00196E8C" w:rsidRPr="00EB00FD" w:rsidRDefault="00196E8C" w:rsidP="00196E8C">
      <w:pPr>
        <w:widowControl w:val="0"/>
        <w:autoSpaceDE w:val="0"/>
        <w:autoSpaceDN w:val="0"/>
        <w:spacing w:before="10"/>
        <w:ind w:left="720"/>
        <w:jc w:val="both"/>
        <w:rPr>
          <w:rFonts w:ascii="Arial" w:hAnsi="Arial" w:cs="Arial"/>
        </w:rPr>
      </w:pPr>
    </w:p>
    <w:p w14:paraId="25888233" w14:textId="77777777" w:rsidR="00196E8C" w:rsidRPr="00EB00FD" w:rsidRDefault="00196E8C" w:rsidP="00AE286E">
      <w:pPr>
        <w:widowControl w:val="0"/>
        <w:autoSpaceDE w:val="0"/>
        <w:autoSpaceDN w:val="0"/>
        <w:spacing w:before="1"/>
        <w:ind w:left="720"/>
        <w:jc w:val="both"/>
        <w:rPr>
          <w:rFonts w:ascii="Arial" w:hAnsi="Arial" w:cs="Arial"/>
        </w:rPr>
      </w:pPr>
      <w:r w:rsidRPr="00EB00FD">
        <w:rPr>
          <w:rFonts w:ascii="Arial" w:hAnsi="Arial" w:cs="Arial"/>
        </w:rPr>
        <w:t xml:space="preserve">For Emergency/Disaster - Safety and Security grants, Congress has set aside $10 million within the Capital Fund account to support PHAs as they address the safety of public housing residents. These grants support PHAs as they address the safety of public housing residents. These grants may be used to install, repair, or replace capital needs items including security systems/surveillance </w:t>
      </w:r>
      <w:r w:rsidRPr="00EB00FD">
        <w:rPr>
          <w:rFonts w:ascii="Arial" w:hAnsi="Arial" w:cs="Arial"/>
        </w:rPr>
        <w:lastRenderedPageBreak/>
        <w:t>cameras, fencing, lighting systems, emergency alarm systems, window bars, deadbolt locks and doors. PHAs submit an application for this funding. The funding is allocated based on a lottery in which the Department of Housing and Urban Development (HUD) reviews approvable applications and enters the approvable applications in the lottery.</w:t>
      </w:r>
    </w:p>
    <w:p w14:paraId="00F79E72" w14:textId="77777777" w:rsidR="00196E8C" w:rsidRPr="00EB00FD" w:rsidRDefault="00196E8C" w:rsidP="00AE286E">
      <w:pPr>
        <w:widowControl w:val="0"/>
        <w:autoSpaceDE w:val="0"/>
        <w:autoSpaceDN w:val="0"/>
        <w:ind w:left="720"/>
        <w:jc w:val="both"/>
        <w:rPr>
          <w:rFonts w:ascii="Arial" w:hAnsi="Arial" w:cs="Arial"/>
        </w:rPr>
      </w:pPr>
    </w:p>
    <w:p w14:paraId="36862C91"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For Emergency/Disaster - Safety and Security Carbon Monoxide grants, the Department has set aside of $10 million for the Safety and Security program. These grants support PHAs as they address the safety of public housing residents. These grants may be used to install carbon monoxide detectors in public housing. PHAs submit a competitive application for this funding. The funding is allocated based on application score.</w:t>
      </w:r>
    </w:p>
    <w:p w14:paraId="54689682" w14:textId="77777777" w:rsidR="00196E8C" w:rsidRPr="00EB00FD" w:rsidRDefault="00196E8C" w:rsidP="00AE286E">
      <w:pPr>
        <w:widowControl w:val="0"/>
        <w:autoSpaceDE w:val="0"/>
        <w:autoSpaceDN w:val="0"/>
        <w:ind w:left="720"/>
        <w:jc w:val="both"/>
        <w:rPr>
          <w:rFonts w:ascii="Arial" w:hAnsi="Arial" w:cs="Arial"/>
        </w:rPr>
      </w:pPr>
    </w:p>
    <w:p w14:paraId="4B62EABE"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Note that Lead-Based Paint and Housing-Related Hazards grants are covered under the Part 4 program section for Assistance Listing 14.888.</w:t>
      </w:r>
    </w:p>
    <w:p w14:paraId="2CD45BFB" w14:textId="77777777" w:rsidR="00196E8C" w:rsidRPr="00EB00FD" w:rsidRDefault="00196E8C" w:rsidP="00AE286E">
      <w:pPr>
        <w:widowControl w:val="0"/>
        <w:autoSpaceDE w:val="0"/>
        <w:autoSpaceDN w:val="0"/>
        <w:ind w:left="720"/>
        <w:jc w:val="both"/>
        <w:rPr>
          <w:rFonts w:ascii="Arial" w:hAnsi="Arial" w:cs="Arial"/>
        </w:rPr>
      </w:pPr>
    </w:p>
    <w:p w14:paraId="69D987AB"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For the Capital Fund Financing Program (CFFP), HUD has permitted PHAs to borrow funding secured to a portion of future Capital Fund grants under the CFFP. PHAs must obtain HUD’s permission prior to borrowing funds securitized by any public housing asset (including real property, other PHA owned property purchased with federal grant funds, and CFP grant funds themselves). HUD reviews each transaction to ensure that PHAs will not be overcommitted to payment of debt service to the detriment of the public housing stock/program, for the reasonableness of the terms of the transaction, and to mitigate risk of default. CFFP transactions continue to be underwritten with the current portfolio of approximately $5 billion impacting close to 300 PHAs nationwide.</w:t>
      </w:r>
    </w:p>
    <w:p w14:paraId="5936A301" w14:textId="77777777" w:rsidR="00196E8C" w:rsidRPr="00EB00FD" w:rsidRDefault="00196E8C" w:rsidP="00196E8C">
      <w:pPr>
        <w:widowControl w:val="0"/>
        <w:autoSpaceDE w:val="0"/>
        <w:autoSpaceDN w:val="0"/>
        <w:jc w:val="both"/>
        <w:rPr>
          <w:rFonts w:ascii="Arial" w:hAnsi="Arial" w:cs="Arial"/>
        </w:rPr>
      </w:pPr>
    </w:p>
    <w:p w14:paraId="5FA26E2D" w14:textId="720FDEE2" w:rsidR="00196E8C" w:rsidRPr="00EB00FD" w:rsidRDefault="00196E8C" w:rsidP="00196E8C">
      <w:pPr>
        <w:spacing w:after="240"/>
        <w:ind w:left="720" w:hanging="720"/>
        <w:jc w:val="both"/>
        <w:rPr>
          <w:rFonts w:ascii="Arial" w:hAnsi="Arial" w:cs="Arial"/>
          <w:b/>
        </w:rPr>
      </w:pPr>
      <w:r w:rsidRPr="00EB00FD">
        <w:rPr>
          <w:rFonts w:ascii="Arial" w:hAnsi="Arial" w:cs="Arial"/>
          <w:b/>
        </w:rPr>
        <w:t>2.</w:t>
      </w:r>
      <w:r w:rsidRPr="00EB00FD">
        <w:rPr>
          <w:rFonts w:ascii="Arial" w:hAnsi="Arial" w:cs="Arial"/>
          <w:b/>
        </w:rPr>
        <w:tab/>
        <w:t>Subprograms/Program Elements</w:t>
      </w:r>
    </w:p>
    <w:p w14:paraId="7569A5B6"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Prior to submitting the 5-Year Action Plan to HUD for review and approval, a PHA must annually conduct a public hearing and consult with the Resident Advisory Board (RAB) of the PHA to discuss the Capital Fund submission. The PHA may elect to conduct a separate annual public hearing in order to solicit public comments or to hold the annual public hearing at the same time as the hearing for the Annual PHA Plan, the 5-Year Plan, or the required annual hearing for qualified public housing authorities. The hearing must be</w:t>
      </w:r>
      <w:r>
        <w:rPr>
          <w:rFonts w:ascii="Arial" w:hAnsi="Arial" w:cs="Arial"/>
        </w:rPr>
        <w:t xml:space="preserve"> </w:t>
      </w:r>
      <w:r w:rsidRPr="00EB00FD">
        <w:rPr>
          <w:rFonts w:ascii="Arial" w:hAnsi="Arial" w:cs="Arial"/>
        </w:rPr>
        <w:t>conducted at a location that is convenient to the residents served by the PHA.</w:t>
      </w:r>
    </w:p>
    <w:p w14:paraId="71073080" w14:textId="77777777" w:rsidR="00196E8C" w:rsidRPr="00EB00FD" w:rsidRDefault="00196E8C" w:rsidP="00196E8C">
      <w:pPr>
        <w:widowControl w:val="0"/>
        <w:autoSpaceDE w:val="0"/>
        <w:autoSpaceDN w:val="0"/>
        <w:spacing w:before="11"/>
        <w:ind w:left="720"/>
        <w:jc w:val="both"/>
        <w:rPr>
          <w:rFonts w:ascii="Arial" w:hAnsi="Arial" w:cs="Arial"/>
        </w:rPr>
      </w:pPr>
    </w:p>
    <w:p w14:paraId="3BDC823B"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A PHA must have an approved 5-Year Action Plan (HUD 50075.2 (OMB No. 2577-0226)) and Document package in EPIC to have access to Capital Funds. Once a PHA submits an Annual Statement/Budget in EPIC (HUD 50075.1), HUD spreads Capital Funds to all of the appropriate budget line items (BLIs) in the Line of Credit Control System (LOCCS) in accordance with the information contained in the 5-Year Action Plan (HUD 50075.2). A PHA may then drawdown funds as needed on a three-day turnaround basis to pay for approved work activities. The three-day turnaround means the PHA expends the funds drawn down from LOCCS within three business days.</w:t>
      </w:r>
    </w:p>
    <w:p w14:paraId="157CE249" w14:textId="77777777" w:rsidR="00196E8C" w:rsidRPr="00EB00FD" w:rsidRDefault="00196E8C" w:rsidP="00AE286E">
      <w:pPr>
        <w:widowControl w:val="0"/>
        <w:autoSpaceDE w:val="0"/>
        <w:autoSpaceDN w:val="0"/>
        <w:ind w:left="720"/>
        <w:jc w:val="both"/>
        <w:rPr>
          <w:rFonts w:ascii="Arial" w:hAnsi="Arial" w:cs="Arial"/>
        </w:rPr>
      </w:pPr>
    </w:p>
    <w:p w14:paraId="7301BD9E"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In planning its modernization projects, the PHA is required to consult with residents and local government officials. After grant award, the PHA may select an architect or engineer through competitive negotiation to develop the plans and specifications for the construction work. Construction work as well as management improvements may be carried out through contract labor (competitively procured) or the PHA’s own work force (force account). The PHA or its architect monitors the work in progress for compliance with contract requirements and acceptable work quality and submits periodic progress reports to HUD.</w:t>
      </w:r>
    </w:p>
    <w:p w14:paraId="24D451F5" w14:textId="77777777" w:rsidR="00196E8C" w:rsidRPr="00EB00FD" w:rsidRDefault="00196E8C" w:rsidP="00AE286E">
      <w:pPr>
        <w:widowControl w:val="0"/>
        <w:autoSpaceDE w:val="0"/>
        <w:autoSpaceDN w:val="0"/>
        <w:ind w:left="720"/>
        <w:jc w:val="both"/>
        <w:rPr>
          <w:rFonts w:ascii="Arial" w:hAnsi="Arial" w:cs="Arial"/>
        </w:rPr>
      </w:pPr>
    </w:p>
    <w:p w14:paraId="0058EBB7" w14:textId="77777777" w:rsidR="00196E8C" w:rsidRPr="00EB00FD" w:rsidRDefault="00196E8C" w:rsidP="00AE286E">
      <w:pPr>
        <w:widowControl w:val="0"/>
        <w:autoSpaceDE w:val="0"/>
        <w:autoSpaceDN w:val="0"/>
        <w:spacing w:before="1"/>
        <w:ind w:left="720"/>
        <w:jc w:val="both"/>
        <w:rPr>
          <w:rFonts w:ascii="Arial" w:hAnsi="Arial" w:cs="Arial"/>
        </w:rPr>
      </w:pPr>
      <w:r w:rsidRPr="00EB00FD">
        <w:rPr>
          <w:rFonts w:ascii="Arial" w:hAnsi="Arial" w:cs="Arial"/>
        </w:rPr>
        <w:t xml:space="preserve">PHAs may develop public housing in accordance with 24 CFR section 905.600. For development projects, the PHA is responsible for negotiating a local cooperation agreement that establishes what services the locality will provide to the public housing project, for project planning, and for submitting a development proposal (and a site acquisition proposal, if applicable). This includes selecting sites or properties to be acquired, contracting with builders to construct or rehabilitate housing, contracting with developers for the purchase of completed (new or rehabilitated) housing, </w:t>
      </w:r>
      <w:r w:rsidRPr="00EB00FD">
        <w:rPr>
          <w:rFonts w:ascii="Arial" w:hAnsi="Arial" w:cs="Arial"/>
        </w:rPr>
        <w:lastRenderedPageBreak/>
        <w:t>and purchasing existing housing that may require repairs. In addition, as a developer, the PHA is responsible for selecting and contracting with other parties (e.g., architects and engineers) and for expediting and coordinating the preparation of required HUD submissions.</w:t>
      </w:r>
    </w:p>
    <w:p w14:paraId="6E57786F" w14:textId="77777777" w:rsidR="00196E8C" w:rsidRDefault="00196E8C" w:rsidP="00196E8C">
      <w:pPr>
        <w:widowControl w:val="0"/>
        <w:autoSpaceDE w:val="0"/>
        <w:autoSpaceDN w:val="0"/>
        <w:jc w:val="both"/>
        <w:rPr>
          <w:rFonts w:ascii="Arial" w:hAnsi="Arial" w:cs="Arial"/>
          <w:b/>
        </w:rPr>
      </w:pPr>
    </w:p>
    <w:p w14:paraId="2CB439EE" w14:textId="77777777" w:rsidR="00196E8C" w:rsidRDefault="00196E8C" w:rsidP="00196E8C">
      <w:pPr>
        <w:widowControl w:val="0"/>
        <w:autoSpaceDE w:val="0"/>
        <w:autoSpaceDN w:val="0"/>
        <w:jc w:val="both"/>
        <w:rPr>
          <w:rFonts w:ascii="Arial" w:hAnsi="Arial" w:cs="Arial"/>
          <w:b/>
        </w:rPr>
      </w:pPr>
      <w:r w:rsidRPr="00EB00FD">
        <w:rPr>
          <w:rFonts w:ascii="Arial" w:hAnsi="Arial" w:cs="Arial"/>
          <w:b/>
        </w:rPr>
        <w:t>3.</w:t>
      </w:r>
      <w:r w:rsidRPr="00EB00FD">
        <w:rPr>
          <w:rFonts w:ascii="Arial" w:hAnsi="Arial" w:cs="Arial"/>
          <w:b/>
        </w:rPr>
        <w:tab/>
        <w:t>Other</w:t>
      </w:r>
    </w:p>
    <w:p w14:paraId="191F2E37" w14:textId="77777777" w:rsidR="00196E8C" w:rsidRPr="00EB00FD" w:rsidRDefault="00196E8C" w:rsidP="00196E8C">
      <w:pPr>
        <w:widowControl w:val="0"/>
        <w:autoSpaceDE w:val="0"/>
        <w:autoSpaceDN w:val="0"/>
        <w:jc w:val="both"/>
        <w:rPr>
          <w:rFonts w:ascii="Arial" w:hAnsi="Arial" w:cs="Arial"/>
          <w:b/>
        </w:rPr>
      </w:pPr>
    </w:p>
    <w:p w14:paraId="5C3CA3C9" w14:textId="77777777" w:rsidR="00196E8C" w:rsidRDefault="00196E8C" w:rsidP="00196E8C">
      <w:pPr>
        <w:widowControl w:val="0"/>
        <w:autoSpaceDE w:val="0"/>
        <w:autoSpaceDN w:val="0"/>
        <w:ind w:left="720"/>
        <w:jc w:val="both"/>
        <w:rPr>
          <w:rFonts w:ascii="Arial" w:hAnsi="Arial" w:cs="Arial"/>
          <w:i/>
        </w:rPr>
      </w:pPr>
      <w:r w:rsidRPr="00EB00FD">
        <w:rPr>
          <w:rFonts w:ascii="Arial" w:hAnsi="Arial" w:cs="Arial"/>
          <w:i/>
        </w:rPr>
        <w:t>Financial Reporting</w:t>
      </w:r>
    </w:p>
    <w:p w14:paraId="2F7BC4F1" w14:textId="77777777" w:rsidR="00AE286E" w:rsidRPr="00EB00FD" w:rsidRDefault="00AE286E" w:rsidP="00196E8C">
      <w:pPr>
        <w:widowControl w:val="0"/>
        <w:autoSpaceDE w:val="0"/>
        <w:autoSpaceDN w:val="0"/>
        <w:ind w:left="720"/>
        <w:jc w:val="both"/>
        <w:rPr>
          <w:rFonts w:ascii="Arial" w:hAnsi="Arial" w:cs="Arial"/>
          <w:i/>
        </w:rPr>
      </w:pPr>
    </w:p>
    <w:p w14:paraId="1D642B84" w14:textId="77777777" w:rsidR="00196E8C" w:rsidRPr="00EB00FD" w:rsidRDefault="00196E8C" w:rsidP="00AE286E">
      <w:pPr>
        <w:widowControl w:val="0"/>
        <w:autoSpaceDE w:val="0"/>
        <w:autoSpaceDN w:val="0"/>
        <w:ind w:left="720"/>
        <w:jc w:val="both"/>
        <w:rPr>
          <w:rFonts w:ascii="Arial" w:hAnsi="Arial" w:cs="Arial"/>
        </w:rPr>
      </w:pPr>
      <w:r w:rsidRPr="00EB00FD">
        <w:rPr>
          <w:rFonts w:ascii="Arial" w:hAnsi="Arial" w:cs="Arial"/>
        </w:rPr>
        <w:t>In accordance with HUD’s Uniform Financial Reporting Standards rule, annually, a PHA is required to submit financial statements, prepared in accordance with generally accepted accounting principles (GAAP), in the electronic format specified by HUD. The unaudited financial statement is due two months after the PHA’s fiscal year end (FYE) and the audited financial statement is due nine months after its FYE (24 CFR section 5.801). The financial statement must include the financial activities of this program.</w:t>
      </w:r>
    </w:p>
    <w:p w14:paraId="26E62419" w14:textId="77777777" w:rsidR="00196E8C" w:rsidRPr="00EB00FD" w:rsidRDefault="00196E8C" w:rsidP="00AE286E">
      <w:pPr>
        <w:widowControl w:val="0"/>
        <w:autoSpaceDE w:val="0"/>
        <w:autoSpaceDN w:val="0"/>
        <w:ind w:left="720"/>
        <w:jc w:val="both"/>
        <w:rPr>
          <w:rFonts w:ascii="Arial" w:hAnsi="Arial" w:cs="Arial"/>
        </w:rPr>
      </w:pPr>
    </w:p>
    <w:p w14:paraId="66038EF3" w14:textId="77777777" w:rsidR="00196E8C" w:rsidRPr="00EB00FD" w:rsidRDefault="00196E8C" w:rsidP="00AE286E">
      <w:pPr>
        <w:widowControl w:val="0"/>
        <w:autoSpaceDE w:val="0"/>
        <w:autoSpaceDN w:val="0"/>
        <w:spacing w:before="1"/>
        <w:ind w:left="720"/>
        <w:jc w:val="both"/>
        <w:rPr>
          <w:rFonts w:ascii="Arial" w:hAnsi="Arial" w:cs="Arial"/>
        </w:rPr>
      </w:pPr>
      <w:r w:rsidRPr="00EB00FD">
        <w:rPr>
          <w:rFonts w:ascii="Arial" w:hAnsi="Arial" w:cs="Arial"/>
        </w:rPr>
        <w:t xml:space="preserve">PHAs submit actual modernization cost certificates (AMCC) form </w:t>
      </w:r>
      <w:r w:rsidRPr="00EB00FD">
        <w:rPr>
          <w:rFonts w:ascii="Arial" w:hAnsi="Arial" w:cs="Arial"/>
          <w:i/>
        </w:rPr>
        <w:t xml:space="preserve">HUD-53001 </w:t>
      </w:r>
      <w:r w:rsidRPr="00EB00FD">
        <w:rPr>
          <w:rFonts w:ascii="Arial" w:hAnsi="Arial" w:cs="Arial"/>
        </w:rPr>
        <w:t xml:space="preserve">and actual development cost certificates (ADCC) form </w:t>
      </w:r>
      <w:r w:rsidRPr="00EB00FD">
        <w:rPr>
          <w:rFonts w:ascii="Arial" w:hAnsi="Arial" w:cs="Arial"/>
          <w:i/>
        </w:rPr>
        <w:t xml:space="preserve">HUD -52427 </w:t>
      </w:r>
      <w:r w:rsidRPr="00EB00FD">
        <w:rPr>
          <w:rFonts w:ascii="Arial" w:hAnsi="Arial" w:cs="Arial"/>
        </w:rPr>
        <w:t>with the local HUD Field Office for approval when they complete a modernization or development project. The AMCC or ADCC is required for CFP grant closeout.</w:t>
      </w:r>
    </w:p>
    <w:p w14:paraId="318FDF23" w14:textId="77777777" w:rsidR="00196E8C" w:rsidRDefault="00196E8C" w:rsidP="00196E8C">
      <w:pPr>
        <w:ind w:left="720"/>
        <w:jc w:val="both"/>
      </w:pPr>
    </w:p>
    <w:p w14:paraId="77A1B4BB" w14:textId="76E013A6" w:rsidR="00196E8C" w:rsidRPr="00230FA4" w:rsidRDefault="00196E8C" w:rsidP="00196E8C">
      <w:pPr>
        <w:spacing w:after="240"/>
        <w:jc w:val="both"/>
        <w:rPr>
          <w:rFonts w:ascii="Arial" w:hAnsi="Arial" w:cs="Arial"/>
          <w:bCs/>
          <w:i/>
          <w:iCs/>
        </w:rPr>
      </w:pPr>
      <w:r>
        <w:rPr>
          <w:rFonts w:ascii="Arial" w:hAnsi="Arial" w:cs="Arial"/>
          <w:bCs/>
          <w:i/>
          <w:iCs/>
        </w:rPr>
        <w:t>(Source: 2025 OMB Compliance Supplement, Part 4, HUD, #14.872 Public Housing Capital Fund)</w:t>
      </w:r>
    </w:p>
    <w:p w14:paraId="612B87C9" w14:textId="77777777" w:rsidR="009656BB" w:rsidRPr="00A0464C" w:rsidRDefault="009656BB" w:rsidP="006672EA">
      <w:pPr>
        <w:pStyle w:val="Heading3"/>
        <w:jc w:val="both"/>
        <w:rPr>
          <w:rFonts w:cs="Arial"/>
          <w:sz w:val="24"/>
          <w:szCs w:val="24"/>
        </w:rPr>
      </w:pPr>
      <w:bookmarkStart w:id="14" w:name="_Toc212535221"/>
      <w:r w:rsidRPr="00A0464C">
        <w:rPr>
          <w:rFonts w:cs="Arial"/>
          <w:sz w:val="24"/>
          <w:szCs w:val="24"/>
        </w:rPr>
        <w:t>III. Source of Governing Requirements</w:t>
      </w:r>
      <w:bookmarkEnd w:id="14"/>
    </w:p>
    <w:p w14:paraId="0868F5FF" w14:textId="77777777" w:rsidR="00196E8C" w:rsidRPr="00196E8C" w:rsidRDefault="00196E8C" w:rsidP="00AE286E">
      <w:pPr>
        <w:pStyle w:val="BodyText"/>
        <w:jc w:val="both"/>
        <w:rPr>
          <w:rFonts w:ascii="Arial" w:hAnsi="Arial" w:cs="Arial"/>
        </w:rPr>
      </w:pPr>
      <w:r w:rsidRPr="00196E8C">
        <w:rPr>
          <w:rFonts w:ascii="Arial" w:hAnsi="Arial" w:cs="Arial"/>
        </w:rPr>
        <w:t>The programs are authorized under 42 USC 1437g. The program implementing regulation is 24 CFR Part 905.</w:t>
      </w:r>
    </w:p>
    <w:p w14:paraId="0D0A342D" w14:textId="1E6BCC33" w:rsidR="00196E8C" w:rsidRPr="00230FA4" w:rsidRDefault="00196E8C" w:rsidP="00AE286E">
      <w:pPr>
        <w:spacing w:after="240"/>
        <w:jc w:val="both"/>
        <w:rPr>
          <w:rFonts w:ascii="Arial" w:hAnsi="Arial" w:cs="Arial"/>
          <w:bCs/>
          <w:i/>
          <w:iCs/>
        </w:rPr>
      </w:pPr>
      <w:r>
        <w:rPr>
          <w:rFonts w:ascii="Arial" w:hAnsi="Arial" w:cs="Arial"/>
          <w:bCs/>
          <w:i/>
          <w:iCs/>
        </w:rPr>
        <w:t>(Source: 2025 OMB Compliance Supplement, Part 4, HUD, #14.872 Public Housing Capital Fund)</w:t>
      </w:r>
    </w:p>
    <w:p w14:paraId="278D98F4" w14:textId="77777777" w:rsidR="006F570B" w:rsidRPr="00A0464C" w:rsidRDefault="00386445" w:rsidP="006672EA">
      <w:pPr>
        <w:pStyle w:val="Heading3"/>
        <w:jc w:val="both"/>
        <w:rPr>
          <w:rFonts w:cs="Arial"/>
          <w:sz w:val="24"/>
          <w:szCs w:val="24"/>
        </w:rPr>
      </w:pPr>
      <w:bookmarkStart w:id="15" w:name="_Toc212535222"/>
      <w:r w:rsidRPr="00A0464C">
        <w:rPr>
          <w:rFonts w:cs="Arial"/>
          <w:sz w:val="24"/>
          <w:szCs w:val="24"/>
        </w:rPr>
        <w:t xml:space="preserve">IV. </w:t>
      </w:r>
      <w:r w:rsidR="009C1FCD" w:rsidRPr="00A0464C">
        <w:rPr>
          <w:rFonts w:cs="Arial"/>
          <w:sz w:val="24"/>
          <w:szCs w:val="24"/>
        </w:rPr>
        <w:t>Other Information</w:t>
      </w:r>
      <w:bookmarkEnd w:id="15"/>
    </w:p>
    <w:p w14:paraId="3522A780" w14:textId="5FDCF764" w:rsidR="0050384F" w:rsidRPr="0050384F" w:rsidRDefault="0050384F" w:rsidP="0050384F">
      <w:pPr>
        <w:spacing w:after="240"/>
        <w:jc w:val="both"/>
        <w:rPr>
          <w:rFonts w:ascii="Arial" w:hAnsi="Arial" w:cs="Arial"/>
          <w:bCs/>
        </w:rPr>
      </w:pPr>
      <w:r w:rsidRPr="0050384F">
        <w:rPr>
          <w:rFonts w:ascii="Arial" w:hAnsi="Arial" w:cs="Arial"/>
          <w:bCs/>
        </w:rPr>
        <w:t>The Moving to Work (MTW) demonstration program (Assistance Listing 14.881) allows selected PHAs the flexibility to design and test various approaches to providing and administering housing assistance consistent with the MTW Agreement executed by the PHA and HUD. An MTW agency may combine funds from the following three programs:</w:t>
      </w:r>
    </w:p>
    <w:p w14:paraId="1C532EF4" w14:textId="216FB07B" w:rsidR="0050384F" w:rsidRPr="0050384F" w:rsidRDefault="0050384F" w:rsidP="0050384F">
      <w:pPr>
        <w:spacing w:after="240"/>
        <w:jc w:val="both"/>
        <w:rPr>
          <w:rFonts w:ascii="Arial" w:hAnsi="Arial" w:cs="Arial"/>
          <w:bCs/>
        </w:rPr>
      </w:pPr>
      <w:r w:rsidRPr="0050384F">
        <w:rPr>
          <w:rFonts w:ascii="Arial" w:hAnsi="Arial" w:cs="Arial"/>
          <w:bCs/>
        </w:rPr>
        <w:t>1.</w:t>
      </w:r>
      <w:r w:rsidRPr="0050384F">
        <w:rPr>
          <w:rFonts w:ascii="Arial" w:hAnsi="Arial" w:cs="Arial"/>
          <w:bCs/>
        </w:rPr>
        <w:tab/>
        <w:t>Section 8 Housing Choice Vouchers (Assistance Listing 14.871)</w:t>
      </w:r>
    </w:p>
    <w:p w14:paraId="474B006E" w14:textId="7F42E8B0" w:rsidR="0050384F" w:rsidRPr="0050384F" w:rsidRDefault="0050384F" w:rsidP="0050384F">
      <w:pPr>
        <w:spacing w:after="240"/>
        <w:jc w:val="both"/>
        <w:rPr>
          <w:rFonts w:ascii="Arial" w:hAnsi="Arial" w:cs="Arial"/>
          <w:bCs/>
        </w:rPr>
      </w:pPr>
      <w:r w:rsidRPr="0050384F">
        <w:rPr>
          <w:rFonts w:ascii="Arial" w:hAnsi="Arial" w:cs="Arial"/>
          <w:bCs/>
        </w:rPr>
        <w:t>2.</w:t>
      </w:r>
      <w:r w:rsidRPr="0050384F">
        <w:rPr>
          <w:rFonts w:ascii="Arial" w:hAnsi="Arial" w:cs="Arial"/>
          <w:bCs/>
        </w:rPr>
        <w:tab/>
        <w:t>Public Housing Capital Fund (Assistance Listing 14.872)</w:t>
      </w:r>
    </w:p>
    <w:p w14:paraId="263243B8" w14:textId="76F18686" w:rsidR="0050384F" w:rsidRPr="0050384F" w:rsidRDefault="0050384F" w:rsidP="0050384F">
      <w:pPr>
        <w:spacing w:after="240"/>
        <w:jc w:val="both"/>
        <w:rPr>
          <w:rFonts w:ascii="Arial" w:hAnsi="Arial" w:cs="Arial"/>
          <w:bCs/>
        </w:rPr>
      </w:pPr>
      <w:r w:rsidRPr="0050384F">
        <w:rPr>
          <w:rFonts w:ascii="Arial" w:hAnsi="Arial" w:cs="Arial"/>
          <w:bCs/>
        </w:rPr>
        <w:t>3.</w:t>
      </w:r>
      <w:r w:rsidRPr="0050384F">
        <w:rPr>
          <w:rFonts w:ascii="Arial" w:hAnsi="Arial" w:cs="Arial"/>
          <w:bCs/>
        </w:rPr>
        <w:tab/>
        <w:t>Public and Indian Housing (Assistance Listing 14.850)</w:t>
      </w:r>
    </w:p>
    <w:p w14:paraId="0B568A15" w14:textId="2A55C9AE" w:rsidR="0050384F" w:rsidRPr="0050384F" w:rsidRDefault="0050384F" w:rsidP="0050384F">
      <w:pPr>
        <w:spacing w:after="240"/>
        <w:jc w:val="both"/>
        <w:rPr>
          <w:rFonts w:ascii="Arial" w:hAnsi="Arial" w:cs="Arial"/>
          <w:bCs/>
        </w:rPr>
      </w:pPr>
      <w:r w:rsidRPr="0050384F">
        <w:rPr>
          <w:rFonts w:ascii="Arial" w:hAnsi="Arial" w:cs="Arial"/>
          <w:bCs/>
        </w:rPr>
        <w:t>If a PHA is operating under an MTW Agreement, the auditor should look to the MTW Agreement to determine which funds are included in the MTW Agreement. If CFP funds are transferred out of CFP, pursuant to an MTW Agreement, they are subject to the requirements of the MTW Agreement and should not be included in the audit universe and total expenditures for CFP when determining Type A programs. On the Schedule of Expenditures of Federal Awards, the amounts transferred out should not be shown as CFP expenditures but should be shown as expenditures for the MTW Demonstration program. Also, if other program funds are transferred into the CFP account pursuant to an MTW Agreement, all of the CFP funds would then be considered MTW funds.</w:t>
      </w:r>
    </w:p>
    <w:p w14:paraId="7E318C26" w14:textId="11FBFE1B" w:rsidR="008148E3" w:rsidRDefault="0050384F" w:rsidP="0050384F">
      <w:pPr>
        <w:spacing w:after="240"/>
        <w:jc w:val="both"/>
        <w:rPr>
          <w:rFonts w:ascii="Arial" w:hAnsi="Arial" w:cs="Arial"/>
          <w:bCs/>
        </w:rPr>
      </w:pPr>
      <w:r w:rsidRPr="0050384F">
        <w:rPr>
          <w:rFonts w:ascii="Arial" w:hAnsi="Arial" w:cs="Arial"/>
          <w:bCs/>
        </w:rPr>
        <w:t>Where the MTW agency does not transfer all the funds from the CFP into the MTW account or another of the authorized program, those funds would be considered, and audited, under the CFP.</w:t>
      </w:r>
    </w:p>
    <w:p w14:paraId="12544F61" w14:textId="77777777" w:rsidR="0050384F" w:rsidRDefault="0050384F" w:rsidP="0050384F">
      <w:pPr>
        <w:jc w:val="both"/>
        <w:rPr>
          <w:rFonts w:ascii="Arial" w:hAnsi="Arial" w:cs="Arial"/>
          <w:b/>
          <w:bCs/>
        </w:rPr>
      </w:pPr>
      <w:r w:rsidRPr="00EB00FD">
        <w:rPr>
          <w:rFonts w:ascii="Arial" w:hAnsi="Arial" w:cs="Arial"/>
          <w:b/>
          <w:bCs/>
        </w:rPr>
        <w:t>Availability of Other Program Information</w:t>
      </w:r>
    </w:p>
    <w:p w14:paraId="4017DB22" w14:textId="77777777" w:rsidR="0050384F" w:rsidRPr="00EB00FD" w:rsidRDefault="0050384F" w:rsidP="0050384F">
      <w:pPr>
        <w:jc w:val="both"/>
        <w:rPr>
          <w:rFonts w:ascii="Arial" w:hAnsi="Arial" w:cs="Arial"/>
          <w:b/>
          <w:bCs/>
        </w:rPr>
      </w:pPr>
    </w:p>
    <w:p w14:paraId="4775EB5E" w14:textId="77777777" w:rsidR="0050384F" w:rsidRDefault="0050384F" w:rsidP="0050384F">
      <w:pPr>
        <w:jc w:val="both"/>
        <w:rPr>
          <w:rFonts w:ascii="Arial" w:hAnsi="Arial" w:cs="Arial"/>
        </w:rPr>
      </w:pPr>
      <w:r w:rsidRPr="00EB00FD">
        <w:rPr>
          <w:rFonts w:ascii="Arial" w:hAnsi="Arial" w:cs="Arial"/>
        </w:rPr>
        <w:t>HUD posts guidance on the CFP to its Office of Capital Improvements Home Page that provides grantees with information on timelines, budgets, financial instructions, and other program guidance. Information regarding the financial reporting requirements of the PHAs is provided by HUD on the Real Estate Assessment Center (REAC) website.</w:t>
      </w:r>
    </w:p>
    <w:p w14:paraId="4612BBCE" w14:textId="77777777" w:rsidR="0050384F" w:rsidRPr="00EB00FD" w:rsidRDefault="0050384F" w:rsidP="0050384F">
      <w:pPr>
        <w:jc w:val="both"/>
        <w:rPr>
          <w:rFonts w:ascii="Arial" w:hAnsi="Arial" w:cs="Arial"/>
        </w:rPr>
      </w:pPr>
    </w:p>
    <w:p w14:paraId="11D358A8" w14:textId="77777777" w:rsidR="0050384F" w:rsidRDefault="0050384F" w:rsidP="0050384F">
      <w:pPr>
        <w:jc w:val="both"/>
        <w:rPr>
          <w:rFonts w:ascii="Arial" w:hAnsi="Arial" w:cs="Arial"/>
        </w:rPr>
      </w:pPr>
      <w:r w:rsidRPr="00EB00FD">
        <w:rPr>
          <w:rFonts w:ascii="Arial" w:hAnsi="Arial" w:cs="Arial"/>
        </w:rPr>
        <w:t>Here are some helpful links:</w:t>
      </w:r>
    </w:p>
    <w:p w14:paraId="69C74B61" w14:textId="77777777" w:rsidR="0050384F" w:rsidRPr="00EB00FD" w:rsidRDefault="0050384F" w:rsidP="0050384F">
      <w:pPr>
        <w:jc w:val="both"/>
        <w:rPr>
          <w:rFonts w:ascii="Arial" w:hAnsi="Arial" w:cs="Arial"/>
        </w:rPr>
      </w:pPr>
    </w:p>
    <w:p w14:paraId="73FCE0E5" w14:textId="77777777" w:rsidR="0050384F" w:rsidRDefault="0050384F" w:rsidP="0050384F">
      <w:pPr>
        <w:jc w:val="both"/>
        <w:rPr>
          <w:rFonts w:ascii="Arial" w:hAnsi="Arial" w:cs="Arial"/>
        </w:rPr>
      </w:pPr>
      <w:r w:rsidRPr="00EB00FD">
        <w:rPr>
          <w:rFonts w:ascii="Arial" w:hAnsi="Arial" w:cs="Arial"/>
        </w:rPr>
        <w:t xml:space="preserve">Office of Capital Improvements web page: </w:t>
      </w:r>
    </w:p>
    <w:p w14:paraId="474CB66A" w14:textId="77777777" w:rsidR="0050384F" w:rsidRPr="00EB00FD" w:rsidRDefault="0050384F" w:rsidP="0050384F">
      <w:pPr>
        <w:jc w:val="both"/>
        <w:rPr>
          <w:rFonts w:ascii="Arial" w:hAnsi="Arial" w:cs="Arial"/>
        </w:rPr>
      </w:pPr>
      <w:hyperlink r:id="rId32" w:history="1">
        <w:r w:rsidRPr="00EE0743">
          <w:rPr>
            <w:rStyle w:val="Hyperlink"/>
            <w:rFonts w:cs="Arial"/>
            <w:spacing w:val="-3"/>
          </w:rPr>
          <w:t>https://www.hud.gov/program_offices/public_indian_housing/programs/ph/capfund</w:t>
        </w:r>
      </w:hyperlink>
    </w:p>
    <w:p w14:paraId="64FED8D9" w14:textId="77777777" w:rsidR="0050384F" w:rsidRPr="00EB00FD" w:rsidRDefault="0050384F" w:rsidP="0050384F">
      <w:pPr>
        <w:jc w:val="both"/>
        <w:rPr>
          <w:rFonts w:ascii="Arial" w:hAnsi="Arial" w:cs="Arial"/>
        </w:rPr>
      </w:pPr>
    </w:p>
    <w:p w14:paraId="1FD1DC98" w14:textId="77777777" w:rsidR="0050384F" w:rsidRDefault="0050384F" w:rsidP="0050384F">
      <w:pPr>
        <w:jc w:val="both"/>
        <w:rPr>
          <w:rFonts w:ascii="Arial" w:hAnsi="Arial" w:cs="Arial"/>
        </w:rPr>
      </w:pPr>
      <w:r w:rsidRPr="00EB00FD">
        <w:rPr>
          <w:rFonts w:ascii="Arial" w:hAnsi="Arial" w:cs="Arial"/>
        </w:rPr>
        <w:t>REAC web pages:</w:t>
      </w:r>
    </w:p>
    <w:p w14:paraId="51086BF0" w14:textId="77777777" w:rsidR="0050384F" w:rsidRPr="00EB00FD" w:rsidRDefault="0050384F" w:rsidP="0050384F">
      <w:pPr>
        <w:jc w:val="both"/>
        <w:rPr>
          <w:rFonts w:ascii="Arial" w:hAnsi="Arial" w:cs="Arial"/>
        </w:rPr>
      </w:pPr>
      <w:r w:rsidRPr="00EB00FD">
        <w:rPr>
          <w:rFonts w:ascii="Arial" w:hAnsi="Arial" w:cs="Arial"/>
        </w:rPr>
        <w:t xml:space="preserve"> </w:t>
      </w:r>
      <w:hyperlink r:id="rId33">
        <w:r w:rsidRPr="00EB00FD">
          <w:rPr>
            <w:rFonts w:ascii="Arial" w:hAnsi="Arial" w:cs="Arial"/>
            <w:color w:val="0000FF"/>
            <w:spacing w:val="-3"/>
            <w:u w:val="single" w:color="0000FF"/>
          </w:rPr>
          <w:t>https://www.hud.gov/program_offices/public_indian_housing/reac</w:t>
        </w:r>
      </w:hyperlink>
      <w:r w:rsidRPr="00EB00FD">
        <w:rPr>
          <w:rFonts w:ascii="Arial" w:hAnsi="Arial" w:cs="Arial"/>
          <w:color w:val="0000FF"/>
          <w:spacing w:val="-3"/>
        </w:rPr>
        <w:t xml:space="preserve"> </w:t>
      </w:r>
      <w:hyperlink r:id="rId34">
        <w:r w:rsidRPr="00EB00FD">
          <w:rPr>
            <w:rFonts w:ascii="Arial" w:hAnsi="Arial" w:cs="Arial"/>
            <w:color w:val="2C74B5"/>
            <w:spacing w:val="-3"/>
            <w:u w:val="single" w:color="2C74B5"/>
          </w:rPr>
          <w:t>https://www.hud.gov/program_offices/public_indian_housing/reac/products/prodpha</w:t>
        </w:r>
      </w:hyperlink>
    </w:p>
    <w:p w14:paraId="4B21C348" w14:textId="77777777" w:rsidR="0050384F" w:rsidRPr="00EB00FD" w:rsidRDefault="0050384F" w:rsidP="0050384F">
      <w:pPr>
        <w:jc w:val="both"/>
        <w:rPr>
          <w:rFonts w:ascii="Arial" w:hAnsi="Arial" w:cs="Arial"/>
        </w:rPr>
      </w:pPr>
      <w:hyperlink r:id="rId35">
        <w:r w:rsidRPr="00EB00FD">
          <w:rPr>
            <w:rFonts w:ascii="Arial" w:hAnsi="Arial" w:cs="Arial"/>
            <w:color w:val="2C74B5"/>
            <w:u w:val="single" w:color="2C74B5"/>
          </w:rPr>
          <w:t>https://www.hud.gov/program_offices/public_indian_housing/reac/products/prodphasintrule</w:t>
        </w:r>
      </w:hyperlink>
    </w:p>
    <w:p w14:paraId="33578BB6" w14:textId="77777777" w:rsidR="0050384F" w:rsidRPr="00F00D94" w:rsidRDefault="0050384F" w:rsidP="00AE286E">
      <w:pPr>
        <w:jc w:val="both"/>
        <w:rPr>
          <w:rFonts w:ascii="Arial" w:hAnsi="Arial" w:cs="Arial"/>
          <w:bCs/>
        </w:rPr>
      </w:pPr>
    </w:p>
    <w:p w14:paraId="56FBBEBD" w14:textId="321013E3" w:rsidR="0050384F" w:rsidRPr="00230FA4" w:rsidRDefault="0050384F" w:rsidP="00AE286E">
      <w:pPr>
        <w:jc w:val="both"/>
        <w:rPr>
          <w:rFonts w:ascii="Arial" w:hAnsi="Arial" w:cs="Arial"/>
          <w:bCs/>
          <w:i/>
          <w:iCs/>
        </w:rPr>
      </w:pPr>
      <w:r>
        <w:rPr>
          <w:rFonts w:ascii="Arial" w:hAnsi="Arial" w:cs="Arial"/>
          <w:bCs/>
          <w:i/>
          <w:iCs/>
        </w:rPr>
        <w:t>(Source: 2025 OMB Compliance Supplement, Part 4, HUD, #14.872 Public Housing Capital Fund)</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2535223"/>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2535224"/>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2535225"/>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2535226"/>
      <w:r w:rsidRPr="00A0464C">
        <w:rPr>
          <w:rFonts w:cs="Arial"/>
          <w:sz w:val="24"/>
          <w:szCs w:val="24"/>
        </w:rPr>
        <w:t>Reporting</w:t>
      </w:r>
      <w:bookmarkEnd w:id="20"/>
    </w:p>
    <w:p w14:paraId="098F526F" w14:textId="0D39AE78" w:rsidR="002A4184" w:rsidRPr="0019565C" w:rsidRDefault="0047409E" w:rsidP="006672EA">
      <w:pPr>
        <w:spacing w:after="240"/>
        <w:jc w:val="both"/>
        <w:rPr>
          <w:rFonts w:ascii="Arial" w:hAnsi="Arial" w:cs="Arial"/>
          <w:b/>
        </w:rPr>
        <w:sectPr w:rsidR="002A4184" w:rsidRPr="0019565C" w:rsidSect="00FE4777">
          <w:headerReference w:type="default" r:id="rId3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253522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2535228"/>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2535229"/>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293B69A2" w14:textId="3AA40E2A" w:rsidR="0050384F" w:rsidRPr="00EB00FD" w:rsidRDefault="0050384F" w:rsidP="0050384F">
      <w:pPr>
        <w:pStyle w:val="ListParagraph"/>
        <w:widowControl w:val="0"/>
        <w:numPr>
          <w:ilvl w:val="1"/>
          <w:numId w:val="70"/>
        </w:numPr>
        <w:tabs>
          <w:tab w:val="left" w:pos="720"/>
        </w:tabs>
        <w:suppressAutoHyphens w:val="0"/>
        <w:adjustRightInd/>
        <w:ind w:left="1440" w:hanging="1440"/>
        <w:jc w:val="both"/>
        <w:rPr>
          <w:rFonts w:ascii="Arial" w:hAnsi="Arial" w:cs="Arial"/>
          <w:b/>
          <w:bCs/>
          <w:i/>
        </w:rPr>
      </w:pPr>
      <w:r w:rsidRPr="00EB00FD">
        <w:rPr>
          <w:rFonts w:ascii="Arial" w:hAnsi="Arial" w:cs="Arial"/>
          <w:b/>
          <w:bCs/>
          <w:i/>
        </w:rPr>
        <w:t>Activities</w:t>
      </w:r>
      <w:r w:rsidRPr="00EB00FD">
        <w:rPr>
          <w:rFonts w:ascii="Arial" w:hAnsi="Arial" w:cs="Arial"/>
          <w:b/>
          <w:bCs/>
          <w:i/>
          <w:spacing w:val="-6"/>
        </w:rPr>
        <w:t xml:space="preserve"> </w:t>
      </w:r>
      <w:r w:rsidRPr="00EB00FD">
        <w:rPr>
          <w:rFonts w:ascii="Arial" w:hAnsi="Arial" w:cs="Arial"/>
          <w:b/>
          <w:bCs/>
          <w:i/>
          <w:spacing w:val="-3"/>
        </w:rPr>
        <w:t>Allowed</w:t>
      </w:r>
    </w:p>
    <w:p w14:paraId="1D56CB61" w14:textId="77777777" w:rsidR="0050384F" w:rsidRDefault="0050384F" w:rsidP="0050384F">
      <w:pPr>
        <w:pStyle w:val="ListParagraph"/>
        <w:widowControl w:val="0"/>
        <w:tabs>
          <w:tab w:val="left" w:pos="1440"/>
          <w:tab w:val="left" w:pos="2839"/>
          <w:tab w:val="left" w:pos="2840"/>
        </w:tabs>
        <w:suppressAutoHyphens w:val="0"/>
        <w:adjustRightInd/>
        <w:ind w:left="1440"/>
        <w:rPr>
          <w:rFonts w:ascii="Arial" w:hAnsi="Arial" w:cs="Arial"/>
        </w:rPr>
      </w:pPr>
    </w:p>
    <w:p w14:paraId="09C5B48F" w14:textId="3BF411AC"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For Capital Fund formula grants and grants from the set-aside for emergencies</w:t>
      </w:r>
      <w:r w:rsidRPr="00EB00FD">
        <w:rPr>
          <w:rFonts w:ascii="Arial" w:hAnsi="Arial" w:cs="Arial"/>
          <w:spacing w:val="-10"/>
        </w:rPr>
        <w:t xml:space="preserve"> </w:t>
      </w:r>
      <w:r w:rsidRPr="00EB00FD">
        <w:rPr>
          <w:rFonts w:ascii="Arial" w:hAnsi="Arial" w:cs="Arial"/>
        </w:rPr>
        <w:t>and</w:t>
      </w:r>
      <w:r w:rsidRPr="00EB00FD">
        <w:rPr>
          <w:rFonts w:ascii="Arial" w:hAnsi="Arial" w:cs="Arial"/>
          <w:spacing w:val="-7"/>
        </w:rPr>
        <w:t xml:space="preserve"> </w:t>
      </w:r>
      <w:r w:rsidRPr="00EB00FD">
        <w:rPr>
          <w:rFonts w:ascii="Arial" w:hAnsi="Arial" w:cs="Arial"/>
        </w:rPr>
        <w:t>natural</w:t>
      </w:r>
      <w:r w:rsidRPr="00EB00FD">
        <w:rPr>
          <w:rFonts w:ascii="Arial" w:hAnsi="Arial" w:cs="Arial"/>
          <w:spacing w:val="-6"/>
        </w:rPr>
        <w:t xml:space="preserve"> </w:t>
      </w:r>
      <w:r w:rsidRPr="00EB00FD">
        <w:rPr>
          <w:rFonts w:ascii="Arial" w:hAnsi="Arial" w:cs="Arial"/>
        </w:rPr>
        <w:t>disasters,</w:t>
      </w:r>
      <w:r w:rsidRPr="00EB00FD">
        <w:rPr>
          <w:rFonts w:ascii="Arial" w:hAnsi="Arial" w:cs="Arial"/>
          <w:spacing w:val="-8"/>
        </w:rPr>
        <w:t xml:space="preserve"> </w:t>
      </w:r>
      <w:r w:rsidRPr="00EB00FD">
        <w:rPr>
          <w:rFonts w:ascii="Arial" w:hAnsi="Arial" w:cs="Arial"/>
        </w:rPr>
        <w:t>allowed</w:t>
      </w:r>
      <w:r w:rsidRPr="00EB00FD">
        <w:rPr>
          <w:rFonts w:ascii="Arial" w:hAnsi="Arial" w:cs="Arial"/>
          <w:spacing w:val="-7"/>
        </w:rPr>
        <w:t xml:space="preserve"> </w:t>
      </w:r>
      <w:r w:rsidRPr="00EB00FD">
        <w:rPr>
          <w:rFonts w:ascii="Arial" w:hAnsi="Arial" w:cs="Arial"/>
        </w:rPr>
        <w:t>Capital</w:t>
      </w:r>
      <w:r w:rsidRPr="00EB00FD">
        <w:rPr>
          <w:rFonts w:ascii="Arial" w:hAnsi="Arial" w:cs="Arial"/>
          <w:spacing w:val="-7"/>
        </w:rPr>
        <w:t xml:space="preserve"> </w:t>
      </w:r>
      <w:r w:rsidRPr="00EB00FD">
        <w:rPr>
          <w:rFonts w:ascii="Arial" w:hAnsi="Arial" w:cs="Arial"/>
        </w:rPr>
        <w:t>Fund</w:t>
      </w:r>
      <w:r w:rsidRPr="00EB00FD">
        <w:rPr>
          <w:rFonts w:ascii="Arial" w:hAnsi="Arial" w:cs="Arial"/>
          <w:spacing w:val="-6"/>
        </w:rPr>
        <w:t xml:space="preserve"> </w:t>
      </w:r>
      <w:r w:rsidRPr="00EB00FD">
        <w:rPr>
          <w:rFonts w:ascii="Arial" w:hAnsi="Arial" w:cs="Arial"/>
        </w:rPr>
        <w:t>activities</w:t>
      </w:r>
      <w:r w:rsidRPr="00EB00FD">
        <w:rPr>
          <w:rFonts w:ascii="Arial" w:hAnsi="Arial" w:cs="Arial"/>
          <w:spacing w:val="-9"/>
        </w:rPr>
        <w:t xml:space="preserve"> </w:t>
      </w:r>
      <w:r w:rsidRPr="00EB00FD">
        <w:rPr>
          <w:rFonts w:ascii="Arial" w:hAnsi="Arial" w:cs="Arial"/>
        </w:rPr>
        <w:t>include</w:t>
      </w:r>
      <w:r w:rsidRPr="00EB00FD">
        <w:rPr>
          <w:rFonts w:ascii="Arial" w:hAnsi="Arial" w:cs="Arial"/>
          <w:spacing w:val="-2"/>
        </w:rPr>
        <w:t xml:space="preserve"> </w:t>
      </w:r>
      <w:r w:rsidRPr="00EB00FD">
        <w:rPr>
          <w:rFonts w:ascii="Arial" w:hAnsi="Arial" w:cs="Arial"/>
        </w:rPr>
        <w:t>the following: (1) developing, financing, or modernizing public housing; (2) vacancy reduction; (3) deferred maintenance; (4) replacement of obsolete utility systems and dwelling equipment; (5) code compliance; (6) management improvements; (7) demolition and replacement; (8) resident relocation; (9) resident economic empowerment/economic self- sufficiency; and (10) security; and (11) homeownership (42 USC 1437g(d): Annual contributions for operation of low-income housing (</w:t>
      </w:r>
      <w:hyperlink r:id="rId39">
        <w:r w:rsidRPr="00EB00FD">
          <w:rPr>
            <w:rFonts w:ascii="Arial" w:hAnsi="Arial" w:cs="Arial"/>
            <w:color w:val="0000FF"/>
            <w:u w:val="single" w:color="0000FF"/>
          </w:rPr>
          <w:t>house.gov</w:t>
        </w:r>
      </w:hyperlink>
      <w:r w:rsidRPr="00EB00FD">
        <w:rPr>
          <w:rFonts w:ascii="Arial" w:hAnsi="Arial" w:cs="Arial"/>
        </w:rPr>
        <w:t>); 24 CFR section 905.200). A PHA with fewer than 250 units that is not designated as troubled under the Public Housing Assessment System (PHAS) may use up to 100 percent of its annual Capital Fund grant for activities that are eligible under the Operating Fund at 24 CFR part 990 (see Assistance Listing</w:t>
      </w:r>
      <w:r w:rsidRPr="00EB00FD">
        <w:rPr>
          <w:rFonts w:ascii="Arial" w:hAnsi="Arial" w:cs="Arial"/>
          <w:spacing w:val="-37"/>
        </w:rPr>
        <w:t xml:space="preserve"> </w:t>
      </w:r>
      <w:r w:rsidRPr="00EB00FD">
        <w:rPr>
          <w:rFonts w:ascii="Arial" w:hAnsi="Arial" w:cs="Arial"/>
        </w:rPr>
        <w:t>14.850, III.A, “Activities Allowed or Unallowed”), except that the PHA must have determined that there are no debt service payments, significant Capital Fund needs, or emergency needs that must be met prior to transferring 100 percent of its funds to operating expenses 24 CFR section</w:t>
      </w:r>
      <w:r w:rsidRPr="00EB00FD">
        <w:rPr>
          <w:rFonts w:ascii="Arial" w:hAnsi="Arial" w:cs="Arial"/>
          <w:spacing w:val="-10"/>
        </w:rPr>
        <w:t xml:space="preserve"> </w:t>
      </w:r>
      <w:r w:rsidRPr="00EB00FD">
        <w:rPr>
          <w:rFonts w:ascii="Arial" w:hAnsi="Arial" w:cs="Arial"/>
        </w:rPr>
        <w:t>905.314(l).</w:t>
      </w:r>
    </w:p>
    <w:p w14:paraId="00AC8CB2" w14:textId="77777777" w:rsidR="0050384F" w:rsidRPr="00EB00FD" w:rsidRDefault="0050384F" w:rsidP="0050384F">
      <w:pPr>
        <w:pStyle w:val="BodyText"/>
        <w:tabs>
          <w:tab w:val="left" w:pos="1440"/>
        </w:tabs>
        <w:spacing w:after="0"/>
        <w:ind w:left="1440"/>
        <w:jc w:val="both"/>
        <w:rPr>
          <w:rFonts w:ascii="Arial" w:hAnsi="Arial" w:cs="Arial"/>
          <w:szCs w:val="20"/>
        </w:rPr>
      </w:pPr>
    </w:p>
    <w:p w14:paraId="31CBE7DA" w14:textId="5C49B469" w:rsidR="0050384F" w:rsidRPr="0050384F"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For</w:t>
      </w:r>
      <w:r w:rsidRPr="00EB00FD">
        <w:rPr>
          <w:rFonts w:ascii="Arial" w:hAnsi="Arial" w:cs="Arial"/>
          <w:spacing w:val="-7"/>
        </w:rPr>
        <w:t xml:space="preserve"> </w:t>
      </w:r>
      <w:r w:rsidRPr="00EB00FD">
        <w:rPr>
          <w:rFonts w:ascii="Arial" w:hAnsi="Arial" w:cs="Arial"/>
        </w:rPr>
        <w:t>Capital</w:t>
      </w:r>
      <w:r w:rsidRPr="00EB00FD">
        <w:rPr>
          <w:rFonts w:ascii="Arial" w:hAnsi="Arial" w:cs="Arial"/>
          <w:spacing w:val="-8"/>
        </w:rPr>
        <w:t xml:space="preserve"> </w:t>
      </w:r>
      <w:r w:rsidRPr="00EB00FD">
        <w:rPr>
          <w:rFonts w:ascii="Arial" w:hAnsi="Arial" w:cs="Arial"/>
        </w:rPr>
        <w:t>Fund</w:t>
      </w:r>
      <w:r w:rsidRPr="00EB00FD">
        <w:rPr>
          <w:rFonts w:ascii="Arial" w:hAnsi="Arial" w:cs="Arial"/>
          <w:spacing w:val="-7"/>
        </w:rPr>
        <w:t xml:space="preserve"> </w:t>
      </w:r>
      <w:r w:rsidRPr="00EB00FD">
        <w:rPr>
          <w:rFonts w:ascii="Arial" w:hAnsi="Arial" w:cs="Arial"/>
        </w:rPr>
        <w:t>Replacement</w:t>
      </w:r>
      <w:r w:rsidRPr="00EB00FD">
        <w:rPr>
          <w:rFonts w:ascii="Arial" w:hAnsi="Arial" w:cs="Arial"/>
          <w:spacing w:val="-7"/>
        </w:rPr>
        <w:t xml:space="preserve"> </w:t>
      </w:r>
      <w:r w:rsidRPr="00EB00FD">
        <w:rPr>
          <w:rFonts w:ascii="Arial" w:hAnsi="Arial" w:cs="Arial"/>
        </w:rPr>
        <w:t>Housing</w:t>
      </w:r>
      <w:r w:rsidRPr="00EB00FD">
        <w:rPr>
          <w:rFonts w:ascii="Arial" w:hAnsi="Arial" w:cs="Arial"/>
          <w:spacing w:val="-7"/>
        </w:rPr>
        <w:t xml:space="preserve"> </w:t>
      </w:r>
      <w:r w:rsidRPr="00EB00FD">
        <w:rPr>
          <w:rFonts w:ascii="Arial" w:hAnsi="Arial" w:cs="Arial"/>
        </w:rPr>
        <w:t>Factor</w:t>
      </w:r>
      <w:r w:rsidRPr="00EB00FD">
        <w:rPr>
          <w:rFonts w:ascii="Arial" w:hAnsi="Arial" w:cs="Arial"/>
          <w:spacing w:val="-8"/>
        </w:rPr>
        <w:t xml:space="preserve"> </w:t>
      </w:r>
      <w:r w:rsidRPr="00EB00FD">
        <w:rPr>
          <w:rFonts w:ascii="Arial" w:hAnsi="Arial" w:cs="Arial"/>
        </w:rPr>
        <w:t>(RHF)</w:t>
      </w:r>
      <w:r w:rsidRPr="00EB00FD">
        <w:rPr>
          <w:rFonts w:ascii="Arial" w:hAnsi="Arial" w:cs="Arial"/>
          <w:spacing w:val="-6"/>
        </w:rPr>
        <w:t xml:space="preserve"> </w:t>
      </w:r>
      <w:r w:rsidRPr="00EB00FD">
        <w:rPr>
          <w:rFonts w:ascii="Arial" w:hAnsi="Arial" w:cs="Arial"/>
        </w:rPr>
        <w:t>grants,</w:t>
      </w:r>
      <w:r w:rsidRPr="00EB00FD">
        <w:rPr>
          <w:rFonts w:ascii="Arial" w:hAnsi="Arial" w:cs="Arial"/>
          <w:spacing w:val="-8"/>
        </w:rPr>
        <w:t xml:space="preserve"> </w:t>
      </w:r>
      <w:r w:rsidRPr="00EB00FD">
        <w:rPr>
          <w:rFonts w:ascii="Arial" w:hAnsi="Arial" w:cs="Arial"/>
        </w:rPr>
        <w:t>activities</w:t>
      </w:r>
      <w:r w:rsidRPr="00EB00FD">
        <w:rPr>
          <w:rFonts w:ascii="Arial" w:hAnsi="Arial" w:cs="Arial"/>
          <w:spacing w:val="-8"/>
        </w:rPr>
        <w:t xml:space="preserve"> </w:t>
      </w:r>
      <w:r w:rsidRPr="00EB00FD">
        <w:rPr>
          <w:rFonts w:ascii="Arial" w:hAnsi="Arial" w:cs="Arial"/>
        </w:rPr>
        <w:t xml:space="preserve">are limited to the development of replacement housing (24 CFR section </w:t>
      </w:r>
      <w:r w:rsidRPr="00EB00FD">
        <w:rPr>
          <w:rFonts w:ascii="Arial" w:hAnsi="Arial" w:cs="Arial"/>
          <w:spacing w:val="-3"/>
        </w:rPr>
        <w:t>905.400(i)).</w:t>
      </w:r>
    </w:p>
    <w:p w14:paraId="1F6C04D2" w14:textId="77777777" w:rsidR="0050384F" w:rsidRPr="0050384F" w:rsidRDefault="0050384F" w:rsidP="0050384F">
      <w:pPr>
        <w:widowControl w:val="0"/>
        <w:tabs>
          <w:tab w:val="left" w:pos="1440"/>
          <w:tab w:val="left" w:pos="2839"/>
          <w:tab w:val="left" w:pos="2840"/>
        </w:tabs>
        <w:jc w:val="both"/>
        <w:rPr>
          <w:rFonts w:ascii="Arial" w:hAnsi="Arial" w:cs="Arial"/>
        </w:rPr>
      </w:pPr>
    </w:p>
    <w:p w14:paraId="37A85E90" w14:textId="37F36573" w:rsidR="0050384F" w:rsidRPr="0050384F" w:rsidRDefault="0050384F" w:rsidP="0050384F">
      <w:pPr>
        <w:pStyle w:val="ListParagraph"/>
        <w:widowControl w:val="0"/>
        <w:numPr>
          <w:ilvl w:val="1"/>
          <w:numId w:val="70"/>
        </w:numPr>
        <w:tabs>
          <w:tab w:val="left" w:pos="720"/>
        </w:tabs>
        <w:suppressAutoHyphens w:val="0"/>
        <w:adjustRightInd/>
        <w:spacing w:before="1"/>
        <w:ind w:left="1440" w:hanging="1440"/>
        <w:jc w:val="both"/>
        <w:rPr>
          <w:rFonts w:ascii="Arial" w:hAnsi="Arial" w:cs="Arial"/>
          <w:b/>
          <w:bCs/>
          <w:i/>
        </w:rPr>
      </w:pPr>
      <w:r w:rsidRPr="00EB00FD">
        <w:rPr>
          <w:rFonts w:ascii="Arial" w:hAnsi="Arial" w:cs="Arial"/>
          <w:b/>
          <w:bCs/>
          <w:i/>
        </w:rPr>
        <w:t>Activities</w:t>
      </w:r>
      <w:r w:rsidRPr="00EB00FD">
        <w:rPr>
          <w:rFonts w:ascii="Arial" w:hAnsi="Arial" w:cs="Arial"/>
          <w:b/>
          <w:bCs/>
          <w:i/>
          <w:spacing w:val="-6"/>
        </w:rPr>
        <w:t xml:space="preserve"> </w:t>
      </w:r>
      <w:r w:rsidRPr="00EB00FD">
        <w:rPr>
          <w:rFonts w:ascii="Arial" w:hAnsi="Arial" w:cs="Arial"/>
          <w:b/>
          <w:bCs/>
          <w:i/>
          <w:spacing w:val="-3"/>
        </w:rPr>
        <w:t>Unallowed</w:t>
      </w:r>
    </w:p>
    <w:p w14:paraId="6F0A5106" w14:textId="77777777" w:rsidR="0050384F" w:rsidRPr="0050384F" w:rsidRDefault="0050384F" w:rsidP="0050384F">
      <w:pPr>
        <w:pStyle w:val="ListParagraph"/>
        <w:widowControl w:val="0"/>
        <w:tabs>
          <w:tab w:val="left" w:pos="720"/>
        </w:tabs>
        <w:suppressAutoHyphens w:val="0"/>
        <w:adjustRightInd/>
        <w:spacing w:before="1"/>
        <w:ind w:left="1440"/>
        <w:jc w:val="both"/>
        <w:rPr>
          <w:rFonts w:ascii="Arial" w:hAnsi="Arial" w:cs="Arial"/>
          <w:b/>
          <w:bCs/>
          <w:i/>
        </w:rPr>
      </w:pPr>
    </w:p>
    <w:p w14:paraId="51409427" w14:textId="77777777" w:rsidR="0050384F" w:rsidRPr="00EB00FD" w:rsidRDefault="0050384F" w:rsidP="0050384F">
      <w:pPr>
        <w:pStyle w:val="BodyText"/>
        <w:tabs>
          <w:tab w:val="left" w:pos="720"/>
        </w:tabs>
        <w:spacing w:after="0"/>
        <w:ind w:left="720"/>
        <w:jc w:val="both"/>
        <w:rPr>
          <w:rFonts w:ascii="Arial" w:hAnsi="Arial" w:cs="Arial"/>
          <w:szCs w:val="20"/>
        </w:rPr>
      </w:pPr>
      <w:r w:rsidRPr="00EB00FD">
        <w:rPr>
          <w:rFonts w:ascii="Arial" w:hAnsi="Arial" w:cs="Arial"/>
          <w:szCs w:val="20"/>
        </w:rPr>
        <w:t>A PHA must not incur any cost in excess of the total HUD-approved PHA - Annual Statement/Budget. Budget revisions must be submitted in EPIC for deviations from the originally approved program. A PHA must not incur any cost on behalf of any development that is not covered by its current approved 5-Year Action Plan (24 CFR section 905.200(a)).</w:t>
      </w:r>
    </w:p>
    <w:p w14:paraId="1E9992D1" w14:textId="77777777" w:rsidR="0050384F" w:rsidRDefault="0050384F" w:rsidP="0050384F">
      <w:pPr>
        <w:pStyle w:val="BodyText"/>
        <w:tabs>
          <w:tab w:val="left" w:pos="720"/>
        </w:tabs>
        <w:spacing w:after="0"/>
        <w:ind w:left="720"/>
        <w:jc w:val="both"/>
        <w:rPr>
          <w:rFonts w:ascii="Arial" w:hAnsi="Arial" w:cs="Arial"/>
          <w:szCs w:val="20"/>
        </w:rPr>
      </w:pPr>
    </w:p>
    <w:p w14:paraId="35806DD7" w14:textId="34899EB0" w:rsidR="0050384F" w:rsidRDefault="0050384F" w:rsidP="0050384F">
      <w:pPr>
        <w:pStyle w:val="BodyText"/>
        <w:tabs>
          <w:tab w:val="left" w:pos="720"/>
        </w:tabs>
        <w:spacing w:after="0"/>
        <w:ind w:left="720"/>
        <w:jc w:val="both"/>
        <w:rPr>
          <w:rFonts w:ascii="Arial" w:hAnsi="Arial" w:cs="Arial"/>
          <w:szCs w:val="20"/>
        </w:rPr>
      </w:pPr>
      <w:r w:rsidRPr="00EB00FD">
        <w:rPr>
          <w:rFonts w:ascii="Arial" w:hAnsi="Arial" w:cs="Arial"/>
          <w:szCs w:val="20"/>
        </w:rPr>
        <w:t>The ineligible activities and costs for the Capital Fund Program are located at 24 CFR 905.202 (</w:t>
      </w:r>
      <w:hyperlink r:id="rId40">
        <w:r w:rsidRPr="00EB00FD">
          <w:rPr>
            <w:rFonts w:ascii="Arial" w:hAnsi="Arial" w:cs="Arial"/>
            <w:color w:val="2C74B5"/>
            <w:szCs w:val="20"/>
            <w:u w:val="single" w:color="2C74B5"/>
          </w:rPr>
          <w:t>https://www.ecfr.gov/current/title-24/subtitle-B/chapter-IX/part-</w:t>
        </w:r>
        <w:r w:rsidRPr="00EB00FD">
          <w:rPr>
            <w:rFonts w:ascii="Arial" w:hAnsi="Arial" w:cs="Arial"/>
            <w:color w:val="2C74B5"/>
            <w:szCs w:val="20"/>
          </w:rPr>
          <w:t xml:space="preserve"> </w:t>
        </w:r>
      </w:hyperlink>
      <w:hyperlink r:id="rId41">
        <w:r w:rsidRPr="00EB00FD">
          <w:rPr>
            <w:rFonts w:ascii="Arial" w:hAnsi="Arial" w:cs="Arial"/>
            <w:color w:val="2C74B5"/>
            <w:szCs w:val="20"/>
            <w:u w:val="single" w:color="2C74B5"/>
          </w:rPr>
          <w:t>905</w:t>
        </w:r>
      </w:hyperlink>
      <w:r w:rsidRPr="00EB00FD">
        <w:rPr>
          <w:rFonts w:ascii="Arial" w:hAnsi="Arial" w:cs="Arial"/>
          <w:szCs w:val="20"/>
        </w:rPr>
        <w:t>). The following list describes ineligible activities and costs for the Capital Fund Program:</w:t>
      </w:r>
    </w:p>
    <w:p w14:paraId="5E862D52" w14:textId="77777777" w:rsidR="0050384F" w:rsidRPr="00EB00FD" w:rsidRDefault="0050384F" w:rsidP="0050384F">
      <w:pPr>
        <w:pStyle w:val="BodyText"/>
        <w:tabs>
          <w:tab w:val="left" w:pos="720"/>
        </w:tabs>
        <w:spacing w:after="0"/>
        <w:jc w:val="both"/>
        <w:rPr>
          <w:rFonts w:ascii="Arial" w:hAnsi="Arial" w:cs="Arial"/>
          <w:szCs w:val="20"/>
        </w:rPr>
      </w:pPr>
    </w:p>
    <w:p w14:paraId="1B02AA7F"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Not Related to Public Housing. PHAs may not spend Capital Funds on costs that are not associated with a Public Housing Development or Modernization Project.</w:t>
      </w:r>
    </w:p>
    <w:p w14:paraId="5053985C" w14:textId="77777777" w:rsidR="0050384F" w:rsidRPr="00EB00FD" w:rsidRDefault="0050384F" w:rsidP="0050384F">
      <w:pPr>
        <w:pStyle w:val="ListParagraph"/>
        <w:tabs>
          <w:tab w:val="left" w:pos="1440"/>
          <w:tab w:val="left" w:pos="2839"/>
          <w:tab w:val="left" w:pos="2840"/>
        </w:tabs>
        <w:ind w:left="1440"/>
        <w:jc w:val="both"/>
        <w:rPr>
          <w:rFonts w:ascii="Arial" w:hAnsi="Arial" w:cs="Arial"/>
        </w:rPr>
      </w:pPr>
    </w:p>
    <w:p w14:paraId="3208F38A"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Not in 5-Year Action Plan. PHAs may not spend Capital Funds on activities and costs that are not included in the PHA’s 5-Year Action Plan (Note: Emergency Work or Non-Presidentially Declared Natural Disaster</w:t>
      </w:r>
      <w:r w:rsidRPr="00EB00FD">
        <w:rPr>
          <w:rFonts w:ascii="Arial" w:hAnsi="Arial" w:cs="Arial"/>
          <w:spacing w:val="-40"/>
        </w:rPr>
        <w:t xml:space="preserve"> </w:t>
      </w:r>
      <w:r w:rsidRPr="00EB00FD">
        <w:rPr>
          <w:rFonts w:ascii="Arial" w:hAnsi="Arial" w:cs="Arial"/>
        </w:rPr>
        <w:t>assistance that is not identified in the 5-Year Action Plan is an eligible</w:t>
      </w:r>
      <w:r w:rsidRPr="00EB00FD">
        <w:rPr>
          <w:rFonts w:ascii="Arial" w:hAnsi="Arial" w:cs="Arial"/>
          <w:spacing w:val="-11"/>
        </w:rPr>
        <w:t xml:space="preserve"> </w:t>
      </w:r>
      <w:r w:rsidRPr="00EB00FD">
        <w:rPr>
          <w:rFonts w:ascii="Arial" w:hAnsi="Arial" w:cs="Arial"/>
          <w:spacing w:val="-3"/>
        </w:rPr>
        <w:t>cost).</w:t>
      </w:r>
    </w:p>
    <w:p w14:paraId="1C73C11D" w14:textId="77777777" w:rsidR="0050384F" w:rsidRPr="00EB00FD" w:rsidRDefault="0050384F" w:rsidP="0050384F">
      <w:pPr>
        <w:tabs>
          <w:tab w:val="left" w:pos="1440"/>
          <w:tab w:val="left" w:pos="2839"/>
          <w:tab w:val="left" w:pos="2840"/>
        </w:tabs>
        <w:ind w:left="1440"/>
        <w:jc w:val="both"/>
        <w:rPr>
          <w:rFonts w:ascii="Arial" w:hAnsi="Arial" w:cs="Arial"/>
        </w:rPr>
      </w:pPr>
    </w:p>
    <w:p w14:paraId="1FC4300E"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Not Modest Design. PHAs may not spend Capital Funds on improvements or purchases that are not considered modest in design and cost because they include amenities, materials, and design in excess of what is customary for the locality, as determined by the PHA and field office. These include, but are not limited to, granite counter tops, dishwashers, microwaves, swimming pools, saunas, whirlpool baths, and hot tubs. Modernization and development activities require Field Office review and approval of the PHA’s annual and five-year plans detailing the activities. These activities must be within the total development costs (TDC) limits. The TDC limits for PHAs are updated annually and posted on the Office of Capital Improvements website here:</w:t>
      </w:r>
      <w:hyperlink r:id="rId42">
        <w:r w:rsidRPr="00EB00FD">
          <w:rPr>
            <w:rFonts w:ascii="Arial" w:hAnsi="Arial" w:cs="Arial"/>
            <w:color w:val="0000FF"/>
            <w:u w:val="single" w:color="0000FF"/>
          </w:rPr>
          <w:t xml:space="preserve"> Office of Capital Improvements | HUD.gov / U.S. Department of Housing</w:t>
        </w:r>
      </w:hyperlink>
      <w:hyperlink r:id="rId43">
        <w:r w:rsidRPr="00EB00FD">
          <w:rPr>
            <w:rFonts w:ascii="Arial" w:hAnsi="Arial" w:cs="Arial"/>
            <w:color w:val="0000FF"/>
            <w:u w:val="single" w:color="0000FF"/>
          </w:rPr>
          <w:t xml:space="preserve"> and Urban Development (HUD)</w:t>
        </w:r>
      </w:hyperlink>
      <w:r w:rsidRPr="00EB00FD">
        <w:rPr>
          <w:rFonts w:ascii="Arial" w:hAnsi="Arial" w:cs="Arial"/>
          <w:color w:val="0000FF"/>
          <w:u w:val="single" w:color="0000FF"/>
        </w:rPr>
        <w:t>.</w:t>
      </w:r>
      <w:r w:rsidRPr="00EB00FD">
        <w:rPr>
          <w:rFonts w:ascii="Arial" w:hAnsi="Arial" w:cs="Arial"/>
          <w:color w:val="0000FF"/>
        </w:rPr>
        <w:t xml:space="preserve"> </w:t>
      </w:r>
      <w:r w:rsidRPr="00EB00FD">
        <w:rPr>
          <w:rFonts w:ascii="Arial" w:hAnsi="Arial" w:cs="Arial"/>
        </w:rPr>
        <w:t>The current TDC limits are posted here:</w:t>
      </w:r>
      <w:hyperlink r:id="rId44">
        <w:r w:rsidRPr="00EB00FD">
          <w:rPr>
            <w:rFonts w:ascii="Arial" w:hAnsi="Arial" w:cs="Arial"/>
            <w:color w:val="0000FF"/>
            <w:u w:val="single" w:color="0000FF"/>
          </w:rPr>
          <w:t xml:space="preserve"> 2023_Units_TDC_Limits.pdf</w:t>
        </w:r>
        <w:r w:rsidRPr="00EB00FD">
          <w:rPr>
            <w:rFonts w:ascii="Arial" w:hAnsi="Arial" w:cs="Arial"/>
            <w:color w:val="0000FF"/>
            <w:spacing w:val="-1"/>
            <w:u w:val="single" w:color="0000FF"/>
          </w:rPr>
          <w:t xml:space="preserve"> </w:t>
        </w:r>
        <w:r w:rsidRPr="00EB00FD">
          <w:rPr>
            <w:rFonts w:ascii="Arial" w:hAnsi="Arial" w:cs="Arial"/>
            <w:color w:val="0000FF"/>
            <w:u w:val="single" w:color="0000FF"/>
          </w:rPr>
          <w:t>(hud.gov)</w:t>
        </w:r>
      </w:hyperlink>
    </w:p>
    <w:p w14:paraId="44745D9B" w14:textId="77777777" w:rsidR="0050384F" w:rsidRPr="00EB00FD" w:rsidRDefault="0050384F" w:rsidP="0050384F">
      <w:pPr>
        <w:pStyle w:val="BodyText"/>
        <w:tabs>
          <w:tab w:val="left" w:pos="1440"/>
        </w:tabs>
        <w:spacing w:after="0"/>
        <w:ind w:left="1440"/>
        <w:jc w:val="both"/>
        <w:rPr>
          <w:rFonts w:ascii="Arial" w:hAnsi="Arial" w:cs="Arial"/>
          <w:szCs w:val="20"/>
        </w:rPr>
      </w:pPr>
    </w:p>
    <w:p w14:paraId="5C8AD3B8" w14:textId="2C9A9566" w:rsidR="0050384F"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Not Eligible based on OMB Regulatory and Circular Guidance. PHAs may not spend Capital Funds on any costs not authorized in 2 CFR Part 200 Subpart E (formerly OMB Circular A-87 and 2 CFR Part 225), including indirect</w:t>
      </w:r>
      <w:r w:rsidRPr="00EB00FD">
        <w:rPr>
          <w:rFonts w:ascii="Arial" w:hAnsi="Arial" w:cs="Arial"/>
          <w:spacing w:val="-9"/>
        </w:rPr>
        <w:t xml:space="preserve"> </w:t>
      </w:r>
      <w:r w:rsidRPr="00EB00FD">
        <w:rPr>
          <w:rFonts w:ascii="Arial" w:hAnsi="Arial" w:cs="Arial"/>
        </w:rPr>
        <w:t>Administrative</w:t>
      </w:r>
      <w:r w:rsidRPr="00EB00FD">
        <w:rPr>
          <w:rFonts w:ascii="Arial" w:hAnsi="Arial" w:cs="Arial"/>
          <w:spacing w:val="-10"/>
        </w:rPr>
        <w:t xml:space="preserve"> </w:t>
      </w:r>
      <w:r w:rsidRPr="00EB00FD">
        <w:rPr>
          <w:rFonts w:ascii="Arial" w:hAnsi="Arial" w:cs="Arial"/>
        </w:rPr>
        <w:t>Costs,</w:t>
      </w:r>
      <w:r w:rsidRPr="00EB00FD">
        <w:rPr>
          <w:rFonts w:ascii="Arial" w:hAnsi="Arial" w:cs="Arial"/>
          <w:spacing w:val="-10"/>
        </w:rPr>
        <w:t xml:space="preserve"> </w:t>
      </w:r>
      <w:r w:rsidRPr="00EB00FD">
        <w:rPr>
          <w:rFonts w:ascii="Arial" w:hAnsi="Arial" w:cs="Arial"/>
        </w:rPr>
        <w:t>indemnification,</w:t>
      </w:r>
      <w:r w:rsidRPr="00EB00FD">
        <w:rPr>
          <w:rFonts w:ascii="Arial" w:hAnsi="Arial" w:cs="Arial"/>
          <w:spacing w:val="-10"/>
        </w:rPr>
        <w:t xml:space="preserve"> </w:t>
      </w:r>
      <w:r w:rsidRPr="00EB00FD">
        <w:rPr>
          <w:rFonts w:ascii="Arial" w:hAnsi="Arial" w:cs="Arial"/>
        </w:rPr>
        <w:t>and</w:t>
      </w:r>
      <w:r w:rsidRPr="00EB00FD">
        <w:rPr>
          <w:rFonts w:ascii="Arial" w:hAnsi="Arial" w:cs="Arial"/>
          <w:spacing w:val="-10"/>
        </w:rPr>
        <w:t xml:space="preserve"> </w:t>
      </w:r>
      <w:r w:rsidRPr="00EB00FD">
        <w:rPr>
          <w:rFonts w:ascii="Arial" w:hAnsi="Arial" w:cs="Arial"/>
        </w:rPr>
        <w:t>capitalizing</w:t>
      </w:r>
      <w:r w:rsidRPr="00EB00FD">
        <w:rPr>
          <w:rFonts w:ascii="Arial" w:hAnsi="Arial" w:cs="Arial"/>
          <w:spacing w:val="-9"/>
        </w:rPr>
        <w:t xml:space="preserve"> </w:t>
      </w:r>
      <w:r w:rsidRPr="00EB00FD">
        <w:rPr>
          <w:rFonts w:ascii="Arial" w:hAnsi="Arial" w:cs="Arial"/>
        </w:rPr>
        <w:t>reserves.</w:t>
      </w:r>
    </w:p>
    <w:p w14:paraId="09140FA7" w14:textId="77777777" w:rsidR="0050384F" w:rsidRPr="0050384F" w:rsidRDefault="0050384F" w:rsidP="0050384F">
      <w:pPr>
        <w:widowControl w:val="0"/>
        <w:tabs>
          <w:tab w:val="left" w:pos="1440"/>
          <w:tab w:val="left" w:pos="2839"/>
          <w:tab w:val="left" w:pos="2840"/>
        </w:tabs>
        <w:jc w:val="both"/>
        <w:rPr>
          <w:rFonts w:ascii="Arial" w:hAnsi="Arial" w:cs="Arial"/>
        </w:rPr>
      </w:pPr>
    </w:p>
    <w:p w14:paraId="54E913D5"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Operating Assistance. PHAs may not spend Capital Funds on Public Housing operating assistance, except as provided through transfers</w:t>
      </w:r>
      <w:r w:rsidRPr="00EB00FD">
        <w:rPr>
          <w:rFonts w:ascii="Arial" w:hAnsi="Arial" w:cs="Arial"/>
          <w:spacing w:val="-45"/>
        </w:rPr>
        <w:t xml:space="preserve"> </w:t>
      </w:r>
      <w:r w:rsidRPr="00EB00FD">
        <w:rPr>
          <w:rFonts w:ascii="Arial" w:hAnsi="Arial" w:cs="Arial"/>
        </w:rPr>
        <w:t xml:space="preserve">to BLI </w:t>
      </w:r>
      <w:r w:rsidRPr="00EB00FD">
        <w:rPr>
          <w:rFonts w:ascii="Arial" w:hAnsi="Arial" w:cs="Arial"/>
          <w:spacing w:val="-3"/>
        </w:rPr>
        <w:t>1406.</w:t>
      </w:r>
    </w:p>
    <w:p w14:paraId="0CAAB1FE" w14:textId="77777777" w:rsidR="0050384F" w:rsidRPr="00EB00FD" w:rsidRDefault="0050384F" w:rsidP="0050384F">
      <w:pPr>
        <w:pStyle w:val="BodyText"/>
        <w:tabs>
          <w:tab w:val="left" w:pos="1440"/>
        </w:tabs>
        <w:spacing w:after="0"/>
        <w:ind w:left="1440"/>
        <w:jc w:val="both"/>
        <w:rPr>
          <w:rFonts w:ascii="Arial" w:hAnsi="Arial" w:cs="Arial"/>
          <w:szCs w:val="20"/>
        </w:rPr>
      </w:pPr>
    </w:p>
    <w:p w14:paraId="0B7B0810" w14:textId="77777777" w:rsidR="0050384F"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Benefitting Other Programs. Eligible costs that exceed the amount directly attributable to the public housing units when the physical or management improvements, including salaries and employee benefits and contributions, will benefit programs other than public housing, such as Section 8 Housing Choice Voucher, or local revitalization programs. For example, the annual audit covers all of the PHA’s activities such as the Operating Fund, Capital Fund, Housing Choice Vouchers, and non- federally funded activities. Only</w:t>
      </w:r>
      <w:r w:rsidRPr="00EB00FD">
        <w:rPr>
          <w:rFonts w:ascii="Arial" w:hAnsi="Arial" w:cs="Arial"/>
          <w:spacing w:val="-38"/>
        </w:rPr>
        <w:t xml:space="preserve"> </w:t>
      </w:r>
      <w:r w:rsidRPr="00EB00FD">
        <w:rPr>
          <w:rFonts w:ascii="Arial" w:hAnsi="Arial" w:cs="Arial"/>
        </w:rPr>
        <w:t>a pro-rata share of the Audit cost attributable to the Capital Fund may be charged to the Capital</w:t>
      </w:r>
      <w:r w:rsidRPr="00EB00FD">
        <w:rPr>
          <w:rFonts w:ascii="Arial" w:hAnsi="Arial" w:cs="Arial"/>
          <w:spacing w:val="-3"/>
        </w:rPr>
        <w:t xml:space="preserve"> </w:t>
      </w:r>
      <w:r w:rsidRPr="00EB00FD">
        <w:rPr>
          <w:rFonts w:ascii="Arial" w:hAnsi="Arial" w:cs="Arial"/>
        </w:rPr>
        <w:t>Fund.</w:t>
      </w:r>
    </w:p>
    <w:p w14:paraId="09F0F66D" w14:textId="77777777" w:rsidR="0050384F" w:rsidRPr="00EB00FD" w:rsidRDefault="0050384F" w:rsidP="0050384F">
      <w:pPr>
        <w:tabs>
          <w:tab w:val="left" w:pos="1440"/>
          <w:tab w:val="left" w:pos="2839"/>
          <w:tab w:val="left" w:pos="2840"/>
        </w:tabs>
        <w:ind w:left="1440"/>
        <w:jc w:val="both"/>
        <w:rPr>
          <w:rFonts w:ascii="Arial" w:hAnsi="Arial" w:cs="Arial"/>
        </w:rPr>
      </w:pPr>
    </w:p>
    <w:p w14:paraId="7C2A784E"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hanging="721"/>
        <w:jc w:val="both"/>
        <w:rPr>
          <w:rFonts w:ascii="Arial" w:hAnsi="Arial" w:cs="Arial"/>
        </w:rPr>
      </w:pPr>
      <w:r w:rsidRPr="00EB00FD">
        <w:rPr>
          <w:rFonts w:ascii="Arial" w:hAnsi="Arial" w:cs="Arial"/>
        </w:rPr>
        <w:t>Security Services. Ongoing security services,</w:t>
      </w:r>
      <w:r w:rsidRPr="00EB00FD">
        <w:rPr>
          <w:rFonts w:ascii="Arial" w:hAnsi="Arial" w:cs="Arial"/>
          <w:spacing w:val="-14"/>
        </w:rPr>
        <w:t xml:space="preserve"> </w:t>
      </w:r>
      <w:r w:rsidRPr="00EB00FD">
        <w:rPr>
          <w:rFonts w:ascii="Arial" w:hAnsi="Arial" w:cs="Arial"/>
          <w:spacing w:val="-3"/>
        </w:rPr>
        <w:t>including:</w:t>
      </w:r>
    </w:p>
    <w:p w14:paraId="045637D5" w14:textId="77777777" w:rsidR="0050384F" w:rsidRPr="00EB00FD" w:rsidRDefault="0050384F" w:rsidP="0050384F">
      <w:pPr>
        <w:pStyle w:val="BodyText"/>
        <w:tabs>
          <w:tab w:val="left" w:pos="1440"/>
        </w:tabs>
        <w:spacing w:after="0"/>
        <w:ind w:left="1440"/>
        <w:jc w:val="both"/>
        <w:rPr>
          <w:rFonts w:ascii="Arial" w:hAnsi="Arial" w:cs="Arial"/>
          <w:szCs w:val="20"/>
        </w:rPr>
      </w:pPr>
    </w:p>
    <w:p w14:paraId="7AA8A4A4" w14:textId="77777777" w:rsidR="0050384F" w:rsidRPr="00EB00FD" w:rsidRDefault="0050384F" w:rsidP="0050384F">
      <w:pPr>
        <w:pStyle w:val="ListParagraph"/>
        <w:widowControl w:val="0"/>
        <w:numPr>
          <w:ilvl w:val="3"/>
          <w:numId w:val="70"/>
        </w:numPr>
        <w:tabs>
          <w:tab w:val="left" w:pos="3559"/>
          <w:tab w:val="left" w:pos="3560"/>
        </w:tabs>
        <w:suppressAutoHyphens w:val="0"/>
        <w:adjustRightInd/>
        <w:ind w:left="2160"/>
        <w:jc w:val="both"/>
        <w:rPr>
          <w:rFonts w:ascii="Arial" w:hAnsi="Arial" w:cs="Arial"/>
        </w:rPr>
      </w:pPr>
      <w:r w:rsidRPr="00EB00FD">
        <w:rPr>
          <w:rFonts w:ascii="Arial" w:hAnsi="Arial" w:cs="Arial"/>
        </w:rPr>
        <w:t>Contracts with local police departments including above baseline police services except where permitted by HUD FY Appropriations Acts;</w:t>
      </w:r>
    </w:p>
    <w:p w14:paraId="32C1259C" w14:textId="77777777" w:rsidR="0050384F" w:rsidRPr="00EB00FD" w:rsidRDefault="0050384F" w:rsidP="0050384F">
      <w:pPr>
        <w:pStyle w:val="BodyText"/>
        <w:spacing w:after="0"/>
        <w:ind w:left="2160" w:hanging="720"/>
        <w:jc w:val="both"/>
        <w:rPr>
          <w:rFonts w:ascii="Arial" w:hAnsi="Arial" w:cs="Arial"/>
          <w:szCs w:val="20"/>
        </w:rPr>
      </w:pPr>
    </w:p>
    <w:p w14:paraId="36CC993B" w14:textId="77777777" w:rsidR="0050384F" w:rsidRPr="00EB00FD" w:rsidRDefault="0050384F" w:rsidP="0050384F">
      <w:pPr>
        <w:pStyle w:val="ListParagraph"/>
        <w:widowControl w:val="0"/>
        <w:numPr>
          <w:ilvl w:val="3"/>
          <w:numId w:val="70"/>
        </w:numPr>
        <w:tabs>
          <w:tab w:val="left" w:pos="3559"/>
          <w:tab w:val="left" w:pos="3560"/>
        </w:tabs>
        <w:suppressAutoHyphens w:val="0"/>
        <w:adjustRightInd/>
        <w:ind w:left="2160"/>
        <w:jc w:val="both"/>
        <w:rPr>
          <w:rFonts w:ascii="Arial" w:hAnsi="Arial" w:cs="Arial"/>
        </w:rPr>
      </w:pPr>
      <w:r w:rsidRPr="00EB00FD">
        <w:rPr>
          <w:rFonts w:ascii="Arial" w:hAnsi="Arial" w:cs="Arial"/>
        </w:rPr>
        <w:t>The</w:t>
      </w:r>
      <w:r w:rsidRPr="00EB00FD">
        <w:rPr>
          <w:rFonts w:ascii="Arial" w:hAnsi="Arial" w:cs="Arial"/>
          <w:spacing w:val="-8"/>
        </w:rPr>
        <w:t xml:space="preserve"> </w:t>
      </w:r>
      <w:r w:rsidRPr="00EB00FD">
        <w:rPr>
          <w:rFonts w:ascii="Arial" w:hAnsi="Arial" w:cs="Arial"/>
        </w:rPr>
        <w:t>salaries</w:t>
      </w:r>
      <w:r w:rsidRPr="00EB00FD">
        <w:rPr>
          <w:rFonts w:ascii="Arial" w:hAnsi="Arial" w:cs="Arial"/>
          <w:spacing w:val="-6"/>
        </w:rPr>
        <w:t xml:space="preserve"> </w:t>
      </w:r>
      <w:r w:rsidRPr="00EB00FD">
        <w:rPr>
          <w:rFonts w:ascii="Arial" w:hAnsi="Arial" w:cs="Arial"/>
        </w:rPr>
        <w:t>and</w:t>
      </w:r>
      <w:r w:rsidRPr="00EB00FD">
        <w:rPr>
          <w:rFonts w:ascii="Arial" w:hAnsi="Arial" w:cs="Arial"/>
          <w:spacing w:val="-5"/>
        </w:rPr>
        <w:t xml:space="preserve"> </w:t>
      </w:r>
      <w:r w:rsidRPr="00EB00FD">
        <w:rPr>
          <w:rFonts w:ascii="Arial" w:hAnsi="Arial" w:cs="Arial"/>
        </w:rPr>
        <w:t>benefits</w:t>
      </w:r>
      <w:r w:rsidRPr="00EB00FD">
        <w:rPr>
          <w:rFonts w:ascii="Arial" w:hAnsi="Arial" w:cs="Arial"/>
          <w:spacing w:val="-8"/>
        </w:rPr>
        <w:t xml:space="preserve"> </w:t>
      </w:r>
      <w:r w:rsidRPr="00EB00FD">
        <w:rPr>
          <w:rFonts w:ascii="Arial" w:hAnsi="Arial" w:cs="Arial"/>
        </w:rPr>
        <w:t>for</w:t>
      </w:r>
      <w:r w:rsidRPr="00EB00FD">
        <w:rPr>
          <w:rFonts w:ascii="Arial" w:hAnsi="Arial" w:cs="Arial"/>
          <w:spacing w:val="-6"/>
        </w:rPr>
        <w:t xml:space="preserve"> </w:t>
      </w:r>
      <w:r w:rsidRPr="00EB00FD">
        <w:rPr>
          <w:rFonts w:ascii="Arial" w:hAnsi="Arial" w:cs="Arial"/>
        </w:rPr>
        <w:t>security</w:t>
      </w:r>
      <w:r w:rsidRPr="00EB00FD">
        <w:rPr>
          <w:rFonts w:ascii="Arial" w:hAnsi="Arial" w:cs="Arial"/>
          <w:spacing w:val="-6"/>
        </w:rPr>
        <w:t xml:space="preserve"> </w:t>
      </w:r>
      <w:r w:rsidRPr="00EB00FD">
        <w:rPr>
          <w:rFonts w:ascii="Arial" w:hAnsi="Arial" w:cs="Arial"/>
        </w:rPr>
        <w:t>guards,</w:t>
      </w:r>
      <w:r w:rsidRPr="00EB00FD">
        <w:rPr>
          <w:rFonts w:ascii="Arial" w:hAnsi="Arial" w:cs="Arial"/>
          <w:spacing w:val="-5"/>
        </w:rPr>
        <w:t xml:space="preserve"> </w:t>
      </w:r>
      <w:r w:rsidRPr="00EB00FD">
        <w:rPr>
          <w:rFonts w:ascii="Arial" w:hAnsi="Arial" w:cs="Arial"/>
        </w:rPr>
        <w:t>patrols,</w:t>
      </w:r>
      <w:r w:rsidRPr="00EB00FD">
        <w:rPr>
          <w:rFonts w:ascii="Arial" w:hAnsi="Arial" w:cs="Arial"/>
          <w:spacing w:val="-6"/>
        </w:rPr>
        <w:t xml:space="preserve"> </w:t>
      </w:r>
      <w:r w:rsidRPr="00EB00FD">
        <w:rPr>
          <w:rFonts w:ascii="Arial" w:hAnsi="Arial" w:cs="Arial"/>
        </w:rPr>
        <w:t>or</w:t>
      </w:r>
      <w:r w:rsidRPr="00EB00FD">
        <w:rPr>
          <w:rFonts w:ascii="Arial" w:hAnsi="Arial" w:cs="Arial"/>
          <w:spacing w:val="-6"/>
        </w:rPr>
        <w:t xml:space="preserve"> </w:t>
      </w:r>
      <w:r w:rsidRPr="00EB00FD">
        <w:rPr>
          <w:rFonts w:ascii="Arial" w:hAnsi="Arial" w:cs="Arial"/>
        </w:rPr>
        <w:t>police</w:t>
      </w:r>
      <w:r w:rsidRPr="00EB00FD">
        <w:rPr>
          <w:rFonts w:ascii="Arial" w:hAnsi="Arial" w:cs="Arial"/>
          <w:spacing w:val="-1"/>
        </w:rPr>
        <w:t xml:space="preserve"> </w:t>
      </w:r>
      <w:r w:rsidRPr="00EB00FD">
        <w:rPr>
          <w:rFonts w:ascii="Arial" w:hAnsi="Arial" w:cs="Arial"/>
        </w:rPr>
        <w:t>officers (full-time, part-time, or after hours);</w:t>
      </w:r>
      <w:r w:rsidRPr="00EB00FD">
        <w:rPr>
          <w:rFonts w:ascii="Arial" w:hAnsi="Arial" w:cs="Arial"/>
          <w:spacing w:val="-3"/>
        </w:rPr>
        <w:t xml:space="preserve"> </w:t>
      </w:r>
      <w:r w:rsidRPr="00EB00FD">
        <w:rPr>
          <w:rFonts w:ascii="Arial" w:hAnsi="Arial" w:cs="Arial"/>
        </w:rPr>
        <w:t>and</w:t>
      </w:r>
    </w:p>
    <w:p w14:paraId="621F31D1" w14:textId="77777777" w:rsidR="0050384F" w:rsidRPr="00EB00FD" w:rsidRDefault="0050384F" w:rsidP="0050384F">
      <w:pPr>
        <w:pStyle w:val="BodyText"/>
        <w:spacing w:after="0"/>
        <w:ind w:left="2160" w:hanging="720"/>
        <w:jc w:val="both"/>
        <w:rPr>
          <w:rFonts w:ascii="Arial" w:hAnsi="Arial" w:cs="Arial"/>
          <w:szCs w:val="20"/>
        </w:rPr>
      </w:pPr>
    </w:p>
    <w:p w14:paraId="2A677BAF" w14:textId="1F1CD11B" w:rsidR="0050384F" w:rsidRPr="0050384F" w:rsidRDefault="0050384F" w:rsidP="0050384F">
      <w:pPr>
        <w:pStyle w:val="ListParagraph"/>
        <w:widowControl w:val="0"/>
        <w:numPr>
          <w:ilvl w:val="3"/>
          <w:numId w:val="70"/>
        </w:numPr>
        <w:tabs>
          <w:tab w:val="left" w:pos="3559"/>
          <w:tab w:val="left" w:pos="3560"/>
        </w:tabs>
        <w:suppressAutoHyphens w:val="0"/>
        <w:adjustRightInd/>
        <w:ind w:left="2160"/>
        <w:jc w:val="both"/>
        <w:rPr>
          <w:rFonts w:ascii="Arial" w:hAnsi="Arial" w:cs="Arial"/>
        </w:rPr>
      </w:pPr>
      <w:r w:rsidRPr="00EB00FD">
        <w:rPr>
          <w:rFonts w:ascii="Arial" w:hAnsi="Arial" w:cs="Arial"/>
        </w:rPr>
        <w:t>The purchase or leasing of vehicles for security</w:t>
      </w:r>
      <w:r w:rsidRPr="00EB00FD">
        <w:rPr>
          <w:rFonts w:ascii="Arial" w:hAnsi="Arial" w:cs="Arial"/>
          <w:spacing w:val="-13"/>
        </w:rPr>
        <w:t xml:space="preserve"> </w:t>
      </w:r>
      <w:r w:rsidRPr="00EB00FD">
        <w:rPr>
          <w:rFonts w:ascii="Arial" w:hAnsi="Arial" w:cs="Arial"/>
          <w:spacing w:val="-3"/>
        </w:rPr>
        <w:t>personnel.</w:t>
      </w:r>
    </w:p>
    <w:p w14:paraId="5AB36A5A" w14:textId="77777777" w:rsidR="0050384F" w:rsidRPr="0050384F" w:rsidRDefault="0050384F" w:rsidP="0050384F">
      <w:pPr>
        <w:widowControl w:val="0"/>
        <w:tabs>
          <w:tab w:val="left" w:pos="3559"/>
          <w:tab w:val="left" w:pos="3560"/>
        </w:tabs>
        <w:jc w:val="both"/>
        <w:rPr>
          <w:rFonts w:ascii="Arial" w:hAnsi="Arial" w:cs="Arial"/>
        </w:rPr>
      </w:pPr>
    </w:p>
    <w:p w14:paraId="5F00C39C"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Supportive</w:t>
      </w:r>
      <w:r w:rsidRPr="00EB00FD">
        <w:rPr>
          <w:rFonts w:ascii="Arial" w:hAnsi="Arial" w:cs="Arial"/>
          <w:spacing w:val="-9"/>
        </w:rPr>
        <w:t xml:space="preserve"> </w:t>
      </w:r>
      <w:r w:rsidRPr="00EB00FD">
        <w:rPr>
          <w:rFonts w:ascii="Arial" w:hAnsi="Arial" w:cs="Arial"/>
        </w:rPr>
        <w:t>Services.</w:t>
      </w:r>
      <w:r w:rsidRPr="00EB00FD">
        <w:rPr>
          <w:rFonts w:ascii="Arial" w:hAnsi="Arial" w:cs="Arial"/>
          <w:spacing w:val="-8"/>
        </w:rPr>
        <w:t xml:space="preserve"> </w:t>
      </w:r>
      <w:r w:rsidRPr="00EB00FD">
        <w:rPr>
          <w:rFonts w:ascii="Arial" w:hAnsi="Arial" w:cs="Arial"/>
        </w:rPr>
        <w:t>The</w:t>
      </w:r>
      <w:r w:rsidRPr="00EB00FD">
        <w:rPr>
          <w:rFonts w:ascii="Arial" w:hAnsi="Arial" w:cs="Arial"/>
          <w:spacing w:val="-5"/>
        </w:rPr>
        <w:t xml:space="preserve"> </w:t>
      </w:r>
      <w:r w:rsidRPr="00EB00FD">
        <w:rPr>
          <w:rFonts w:ascii="Arial" w:hAnsi="Arial" w:cs="Arial"/>
        </w:rPr>
        <w:t>provision</w:t>
      </w:r>
      <w:r w:rsidRPr="00EB00FD">
        <w:rPr>
          <w:rFonts w:ascii="Arial" w:hAnsi="Arial" w:cs="Arial"/>
          <w:spacing w:val="-7"/>
        </w:rPr>
        <w:t xml:space="preserve"> </w:t>
      </w:r>
      <w:r w:rsidRPr="00EB00FD">
        <w:rPr>
          <w:rFonts w:ascii="Arial" w:hAnsi="Arial" w:cs="Arial"/>
        </w:rPr>
        <w:t>of</w:t>
      </w:r>
      <w:r w:rsidRPr="00EB00FD">
        <w:rPr>
          <w:rFonts w:ascii="Arial" w:hAnsi="Arial" w:cs="Arial"/>
          <w:spacing w:val="-7"/>
        </w:rPr>
        <w:t xml:space="preserve"> </w:t>
      </w:r>
      <w:r w:rsidRPr="00EB00FD">
        <w:rPr>
          <w:rFonts w:ascii="Arial" w:hAnsi="Arial" w:cs="Arial"/>
        </w:rPr>
        <w:t>supportive</w:t>
      </w:r>
      <w:r w:rsidRPr="00EB00FD">
        <w:rPr>
          <w:rFonts w:ascii="Arial" w:hAnsi="Arial" w:cs="Arial"/>
          <w:spacing w:val="-6"/>
        </w:rPr>
        <w:t xml:space="preserve"> </w:t>
      </w:r>
      <w:r w:rsidRPr="00EB00FD">
        <w:rPr>
          <w:rFonts w:ascii="Arial" w:hAnsi="Arial" w:cs="Arial"/>
        </w:rPr>
        <w:t>services</w:t>
      </w:r>
      <w:r w:rsidRPr="00EB00FD">
        <w:rPr>
          <w:rFonts w:ascii="Arial" w:hAnsi="Arial" w:cs="Arial"/>
          <w:spacing w:val="-8"/>
        </w:rPr>
        <w:t xml:space="preserve"> </w:t>
      </w:r>
      <w:r w:rsidRPr="00EB00FD">
        <w:rPr>
          <w:rFonts w:ascii="Arial" w:hAnsi="Arial" w:cs="Arial"/>
        </w:rPr>
        <w:t>to</w:t>
      </w:r>
      <w:r w:rsidRPr="00EB00FD">
        <w:rPr>
          <w:rFonts w:ascii="Arial" w:hAnsi="Arial" w:cs="Arial"/>
          <w:spacing w:val="-7"/>
        </w:rPr>
        <w:t xml:space="preserve"> </w:t>
      </w:r>
      <w:r w:rsidRPr="00EB00FD">
        <w:rPr>
          <w:rFonts w:ascii="Arial" w:hAnsi="Arial" w:cs="Arial"/>
        </w:rPr>
        <w:t>public</w:t>
      </w:r>
      <w:r w:rsidRPr="00EB00FD">
        <w:rPr>
          <w:rFonts w:ascii="Arial" w:hAnsi="Arial" w:cs="Arial"/>
          <w:spacing w:val="-1"/>
        </w:rPr>
        <w:t xml:space="preserve"> </w:t>
      </w:r>
      <w:r w:rsidRPr="00EB00FD">
        <w:rPr>
          <w:rFonts w:ascii="Arial" w:hAnsi="Arial" w:cs="Arial"/>
        </w:rPr>
        <w:t>housing residents,</w:t>
      </w:r>
      <w:r w:rsidRPr="00EB00FD">
        <w:rPr>
          <w:rFonts w:ascii="Arial" w:hAnsi="Arial" w:cs="Arial"/>
          <w:spacing w:val="-3"/>
        </w:rPr>
        <w:t xml:space="preserve"> </w:t>
      </w:r>
      <w:r w:rsidRPr="00EB00FD">
        <w:rPr>
          <w:rFonts w:ascii="Arial" w:hAnsi="Arial" w:cs="Arial"/>
        </w:rPr>
        <w:t>including:</w:t>
      </w:r>
    </w:p>
    <w:p w14:paraId="3B5D2C1C" w14:textId="77777777" w:rsidR="0050384F" w:rsidRPr="00EB00FD" w:rsidRDefault="0050384F" w:rsidP="0050384F">
      <w:pPr>
        <w:pStyle w:val="BodyText"/>
        <w:tabs>
          <w:tab w:val="left" w:pos="1440"/>
        </w:tabs>
        <w:spacing w:after="0"/>
        <w:ind w:left="1440"/>
        <w:jc w:val="both"/>
        <w:rPr>
          <w:rFonts w:ascii="Arial" w:hAnsi="Arial" w:cs="Arial"/>
          <w:szCs w:val="20"/>
        </w:rPr>
      </w:pPr>
    </w:p>
    <w:p w14:paraId="0072125B" w14:textId="77777777" w:rsidR="0050384F" w:rsidRDefault="0050384F" w:rsidP="0050384F">
      <w:pPr>
        <w:pStyle w:val="ListParagraph"/>
        <w:widowControl w:val="0"/>
        <w:numPr>
          <w:ilvl w:val="3"/>
          <w:numId w:val="70"/>
        </w:numPr>
        <w:tabs>
          <w:tab w:val="left" w:pos="2160"/>
          <w:tab w:val="left" w:pos="3559"/>
          <w:tab w:val="left" w:pos="3560"/>
        </w:tabs>
        <w:suppressAutoHyphens w:val="0"/>
        <w:adjustRightInd/>
        <w:ind w:left="2160"/>
        <w:jc w:val="both"/>
        <w:rPr>
          <w:rFonts w:ascii="Arial" w:hAnsi="Arial" w:cs="Arial"/>
        </w:rPr>
      </w:pPr>
      <w:r w:rsidRPr="00EB00FD">
        <w:rPr>
          <w:rFonts w:ascii="Arial" w:hAnsi="Arial" w:cs="Arial"/>
        </w:rPr>
        <w:t>The salaries and benefits or contract costs for service providers, including resident coordinators, case managers, social workers, nurses,</w:t>
      </w:r>
      <w:r w:rsidRPr="00EB00FD">
        <w:rPr>
          <w:rFonts w:ascii="Arial" w:hAnsi="Arial" w:cs="Arial"/>
          <w:spacing w:val="-9"/>
        </w:rPr>
        <w:t xml:space="preserve"> </w:t>
      </w:r>
      <w:r w:rsidRPr="00EB00FD">
        <w:rPr>
          <w:rFonts w:ascii="Arial" w:hAnsi="Arial" w:cs="Arial"/>
        </w:rPr>
        <w:t>chore</w:t>
      </w:r>
      <w:r w:rsidRPr="00EB00FD">
        <w:rPr>
          <w:rFonts w:ascii="Arial" w:hAnsi="Arial" w:cs="Arial"/>
          <w:spacing w:val="-9"/>
        </w:rPr>
        <w:t xml:space="preserve"> </w:t>
      </w:r>
      <w:r w:rsidRPr="00EB00FD">
        <w:rPr>
          <w:rFonts w:ascii="Arial" w:hAnsi="Arial" w:cs="Arial"/>
        </w:rPr>
        <w:t>service</w:t>
      </w:r>
      <w:r w:rsidRPr="00EB00FD">
        <w:rPr>
          <w:rFonts w:ascii="Arial" w:hAnsi="Arial" w:cs="Arial"/>
          <w:spacing w:val="-9"/>
        </w:rPr>
        <w:t xml:space="preserve"> </w:t>
      </w:r>
      <w:r w:rsidRPr="00EB00FD">
        <w:rPr>
          <w:rFonts w:ascii="Arial" w:hAnsi="Arial" w:cs="Arial"/>
        </w:rPr>
        <w:t>providers,</w:t>
      </w:r>
      <w:r w:rsidRPr="00EB00FD">
        <w:rPr>
          <w:rFonts w:ascii="Arial" w:hAnsi="Arial" w:cs="Arial"/>
          <w:spacing w:val="-8"/>
        </w:rPr>
        <w:t xml:space="preserve"> </w:t>
      </w:r>
      <w:r w:rsidRPr="00EB00FD">
        <w:rPr>
          <w:rFonts w:ascii="Arial" w:hAnsi="Arial" w:cs="Arial"/>
        </w:rPr>
        <w:t>supplemental</w:t>
      </w:r>
      <w:r w:rsidRPr="00EB00FD">
        <w:rPr>
          <w:rFonts w:ascii="Arial" w:hAnsi="Arial" w:cs="Arial"/>
          <w:spacing w:val="-8"/>
        </w:rPr>
        <w:t xml:space="preserve"> </w:t>
      </w:r>
      <w:r w:rsidRPr="00EB00FD">
        <w:rPr>
          <w:rFonts w:ascii="Arial" w:hAnsi="Arial" w:cs="Arial"/>
        </w:rPr>
        <w:t>police</w:t>
      </w:r>
      <w:r w:rsidRPr="00EB00FD">
        <w:rPr>
          <w:rFonts w:ascii="Arial" w:hAnsi="Arial" w:cs="Arial"/>
          <w:spacing w:val="-11"/>
        </w:rPr>
        <w:t xml:space="preserve"> </w:t>
      </w:r>
      <w:r w:rsidRPr="00EB00FD">
        <w:rPr>
          <w:rFonts w:ascii="Arial" w:hAnsi="Arial" w:cs="Arial"/>
        </w:rPr>
        <w:t>or</w:t>
      </w:r>
      <w:r w:rsidRPr="00EB00FD">
        <w:rPr>
          <w:rFonts w:ascii="Arial" w:hAnsi="Arial" w:cs="Arial"/>
          <w:spacing w:val="-8"/>
        </w:rPr>
        <w:t xml:space="preserve"> </w:t>
      </w:r>
      <w:r w:rsidRPr="00EB00FD">
        <w:rPr>
          <w:rFonts w:ascii="Arial" w:hAnsi="Arial" w:cs="Arial"/>
        </w:rPr>
        <w:t>probation services providers, and</w:t>
      </w:r>
      <w:r w:rsidRPr="00EB00FD">
        <w:rPr>
          <w:rFonts w:ascii="Arial" w:hAnsi="Arial" w:cs="Arial"/>
          <w:spacing w:val="-3"/>
        </w:rPr>
        <w:t xml:space="preserve"> </w:t>
      </w:r>
      <w:r w:rsidRPr="00EB00FD">
        <w:rPr>
          <w:rFonts w:ascii="Arial" w:hAnsi="Arial" w:cs="Arial"/>
        </w:rPr>
        <w:t>tutors;</w:t>
      </w:r>
    </w:p>
    <w:p w14:paraId="3336DAEA" w14:textId="77777777" w:rsidR="0050384F" w:rsidRPr="00EB00FD" w:rsidRDefault="0050384F" w:rsidP="0050384F">
      <w:pPr>
        <w:pStyle w:val="ListParagraph"/>
        <w:tabs>
          <w:tab w:val="left" w:pos="2160"/>
          <w:tab w:val="left" w:pos="3559"/>
          <w:tab w:val="left" w:pos="3560"/>
        </w:tabs>
        <w:ind w:left="2160" w:hanging="720"/>
        <w:jc w:val="both"/>
        <w:rPr>
          <w:rFonts w:ascii="Arial" w:hAnsi="Arial" w:cs="Arial"/>
        </w:rPr>
      </w:pPr>
    </w:p>
    <w:p w14:paraId="5A792324" w14:textId="77777777" w:rsidR="0050384F" w:rsidRPr="00EB00FD" w:rsidRDefault="0050384F" w:rsidP="0050384F">
      <w:pPr>
        <w:pStyle w:val="ListParagraph"/>
        <w:widowControl w:val="0"/>
        <w:numPr>
          <w:ilvl w:val="3"/>
          <w:numId w:val="70"/>
        </w:numPr>
        <w:tabs>
          <w:tab w:val="left" w:pos="2160"/>
          <w:tab w:val="left" w:pos="3559"/>
          <w:tab w:val="left" w:pos="3560"/>
        </w:tabs>
        <w:suppressAutoHyphens w:val="0"/>
        <w:adjustRightInd/>
        <w:spacing w:before="1"/>
        <w:ind w:left="2160"/>
        <w:jc w:val="both"/>
        <w:rPr>
          <w:rFonts w:ascii="Arial" w:hAnsi="Arial" w:cs="Arial"/>
        </w:rPr>
      </w:pPr>
      <w:r w:rsidRPr="00EB00FD">
        <w:rPr>
          <w:rFonts w:ascii="Arial" w:hAnsi="Arial" w:cs="Arial"/>
        </w:rPr>
        <w:t>Health and wellness</w:t>
      </w:r>
      <w:r w:rsidRPr="00EB00FD">
        <w:rPr>
          <w:rFonts w:ascii="Arial" w:hAnsi="Arial" w:cs="Arial"/>
          <w:spacing w:val="-10"/>
        </w:rPr>
        <w:t xml:space="preserve"> </w:t>
      </w:r>
      <w:r w:rsidRPr="00EB00FD">
        <w:rPr>
          <w:rFonts w:ascii="Arial" w:hAnsi="Arial" w:cs="Arial"/>
          <w:spacing w:val="-3"/>
        </w:rPr>
        <w:t>activities;</w:t>
      </w:r>
    </w:p>
    <w:p w14:paraId="74460324" w14:textId="77777777" w:rsidR="0050384F" w:rsidRPr="00EB00FD" w:rsidRDefault="0050384F" w:rsidP="0050384F">
      <w:pPr>
        <w:pStyle w:val="BodyText"/>
        <w:tabs>
          <w:tab w:val="left" w:pos="2160"/>
        </w:tabs>
        <w:spacing w:after="0"/>
        <w:ind w:left="2160" w:hanging="720"/>
        <w:jc w:val="both"/>
        <w:rPr>
          <w:rFonts w:ascii="Arial" w:hAnsi="Arial" w:cs="Arial"/>
          <w:szCs w:val="20"/>
        </w:rPr>
      </w:pPr>
    </w:p>
    <w:p w14:paraId="3CF3632E" w14:textId="77777777" w:rsidR="0050384F" w:rsidRDefault="0050384F" w:rsidP="0050384F">
      <w:pPr>
        <w:pStyle w:val="ListParagraph"/>
        <w:widowControl w:val="0"/>
        <w:numPr>
          <w:ilvl w:val="3"/>
          <w:numId w:val="70"/>
        </w:numPr>
        <w:tabs>
          <w:tab w:val="left" w:pos="2160"/>
          <w:tab w:val="left" w:pos="3559"/>
          <w:tab w:val="left" w:pos="3560"/>
        </w:tabs>
        <w:suppressAutoHyphens w:val="0"/>
        <w:adjustRightInd/>
        <w:ind w:left="2160"/>
        <w:jc w:val="both"/>
        <w:rPr>
          <w:rFonts w:ascii="Arial" w:hAnsi="Arial" w:cs="Arial"/>
        </w:rPr>
      </w:pPr>
      <w:r w:rsidRPr="00EB00FD">
        <w:rPr>
          <w:rFonts w:ascii="Arial" w:hAnsi="Arial" w:cs="Arial"/>
        </w:rPr>
        <w:t>Educational</w:t>
      </w:r>
      <w:r w:rsidRPr="00EB00FD">
        <w:rPr>
          <w:rFonts w:ascii="Arial" w:hAnsi="Arial" w:cs="Arial"/>
          <w:spacing w:val="-11"/>
        </w:rPr>
        <w:t xml:space="preserve"> </w:t>
      </w:r>
      <w:r w:rsidRPr="00EB00FD">
        <w:rPr>
          <w:rFonts w:ascii="Arial" w:hAnsi="Arial" w:cs="Arial"/>
        </w:rPr>
        <w:t>enrichment</w:t>
      </w:r>
      <w:r w:rsidRPr="00EB00FD">
        <w:rPr>
          <w:rFonts w:ascii="Arial" w:hAnsi="Arial" w:cs="Arial"/>
          <w:spacing w:val="-10"/>
        </w:rPr>
        <w:t xml:space="preserve"> </w:t>
      </w:r>
      <w:r w:rsidRPr="00EB00FD">
        <w:rPr>
          <w:rFonts w:ascii="Arial" w:hAnsi="Arial" w:cs="Arial"/>
        </w:rPr>
        <w:t>and</w:t>
      </w:r>
      <w:r w:rsidRPr="00EB00FD">
        <w:rPr>
          <w:rFonts w:ascii="Arial" w:hAnsi="Arial" w:cs="Arial"/>
          <w:spacing w:val="-10"/>
        </w:rPr>
        <w:t xml:space="preserve"> </w:t>
      </w:r>
      <w:r w:rsidRPr="00EB00FD">
        <w:rPr>
          <w:rFonts w:ascii="Arial" w:hAnsi="Arial" w:cs="Arial"/>
        </w:rPr>
        <w:t>recreational</w:t>
      </w:r>
      <w:r w:rsidRPr="00EB00FD">
        <w:rPr>
          <w:rFonts w:ascii="Arial" w:hAnsi="Arial" w:cs="Arial"/>
          <w:spacing w:val="-9"/>
        </w:rPr>
        <w:t xml:space="preserve"> </w:t>
      </w:r>
      <w:r w:rsidRPr="00EB00FD">
        <w:rPr>
          <w:rFonts w:ascii="Arial" w:hAnsi="Arial" w:cs="Arial"/>
        </w:rPr>
        <w:t>activities,</w:t>
      </w:r>
      <w:r w:rsidRPr="00EB00FD">
        <w:rPr>
          <w:rFonts w:ascii="Arial" w:hAnsi="Arial" w:cs="Arial"/>
          <w:spacing w:val="-10"/>
        </w:rPr>
        <w:t xml:space="preserve"> </w:t>
      </w:r>
      <w:r w:rsidRPr="00EB00FD">
        <w:rPr>
          <w:rFonts w:ascii="Arial" w:hAnsi="Arial" w:cs="Arial"/>
        </w:rPr>
        <w:t>including</w:t>
      </w:r>
      <w:r w:rsidRPr="00EB00FD">
        <w:rPr>
          <w:rFonts w:ascii="Arial" w:hAnsi="Arial" w:cs="Arial"/>
          <w:spacing w:val="-11"/>
        </w:rPr>
        <w:t xml:space="preserve"> </w:t>
      </w:r>
      <w:r w:rsidRPr="00EB00FD">
        <w:rPr>
          <w:rFonts w:ascii="Arial" w:hAnsi="Arial" w:cs="Arial"/>
        </w:rPr>
        <w:t>social organizations;</w:t>
      </w:r>
      <w:r w:rsidRPr="00EB00FD">
        <w:rPr>
          <w:rFonts w:ascii="Arial" w:hAnsi="Arial" w:cs="Arial"/>
          <w:spacing w:val="-1"/>
        </w:rPr>
        <w:t xml:space="preserve"> </w:t>
      </w:r>
      <w:r w:rsidRPr="00EB00FD">
        <w:rPr>
          <w:rFonts w:ascii="Arial" w:hAnsi="Arial" w:cs="Arial"/>
        </w:rPr>
        <w:t>and</w:t>
      </w:r>
    </w:p>
    <w:p w14:paraId="6030B327" w14:textId="77777777" w:rsidR="0050384F" w:rsidRPr="00EB00FD" w:rsidRDefault="0050384F" w:rsidP="0050384F">
      <w:pPr>
        <w:tabs>
          <w:tab w:val="left" w:pos="2160"/>
          <w:tab w:val="left" w:pos="3559"/>
          <w:tab w:val="left" w:pos="3560"/>
        </w:tabs>
        <w:ind w:left="2160" w:hanging="720"/>
        <w:jc w:val="both"/>
        <w:rPr>
          <w:rFonts w:ascii="Arial" w:hAnsi="Arial" w:cs="Arial"/>
        </w:rPr>
      </w:pPr>
    </w:p>
    <w:p w14:paraId="4755B808" w14:textId="77777777" w:rsidR="0050384F" w:rsidRPr="00EB00FD" w:rsidRDefault="0050384F" w:rsidP="0050384F">
      <w:pPr>
        <w:pStyle w:val="ListParagraph"/>
        <w:widowControl w:val="0"/>
        <w:numPr>
          <w:ilvl w:val="3"/>
          <w:numId w:val="70"/>
        </w:numPr>
        <w:tabs>
          <w:tab w:val="left" w:pos="2160"/>
          <w:tab w:val="left" w:pos="3559"/>
          <w:tab w:val="left" w:pos="3560"/>
        </w:tabs>
        <w:suppressAutoHyphens w:val="0"/>
        <w:adjustRightInd/>
        <w:ind w:left="2160"/>
        <w:jc w:val="both"/>
        <w:rPr>
          <w:rFonts w:ascii="Arial" w:hAnsi="Arial" w:cs="Arial"/>
        </w:rPr>
      </w:pPr>
      <w:r w:rsidRPr="00EB00FD">
        <w:rPr>
          <w:rFonts w:ascii="Arial" w:hAnsi="Arial" w:cs="Arial"/>
        </w:rPr>
        <w:t>Job development and placement services, including the cost of professional</w:t>
      </w:r>
      <w:r w:rsidRPr="00EB00FD">
        <w:rPr>
          <w:rFonts w:ascii="Arial" w:hAnsi="Arial" w:cs="Arial"/>
          <w:spacing w:val="-10"/>
        </w:rPr>
        <w:t xml:space="preserve"> </w:t>
      </w:r>
      <w:r w:rsidRPr="00EB00FD">
        <w:rPr>
          <w:rFonts w:ascii="Arial" w:hAnsi="Arial" w:cs="Arial"/>
        </w:rPr>
        <w:t>licenses,</w:t>
      </w:r>
      <w:r w:rsidRPr="00EB00FD">
        <w:rPr>
          <w:rFonts w:ascii="Arial" w:hAnsi="Arial" w:cs="Arial"/>
          <w:spacing w:val="-8"/>
        </w:rPr>
        <w:t xml:space="preserve"> </w:t>
      </w:r>
      <w:r w:rsidRPr="00EB00FD">
        <w:rPr>
          <w:rFonts w:ascii="Arial" w:hAnsi="Arial" w:cs="Arial"/>
        </w:rPr>
        <w:t>certifications</w:t>
      </w:r>
      <w:r w:rsidRPr="00EB00FD">
        <w:rPr>
          <w:rFonts w:ascii="Arial" w:hAnsi="Arial" w:cs="Arial"/>
          <w:spacing w:val="-11"/>
        </w:rPr>
        <w:t xml:space="preserve"> </w:t>
      </w:r>
      <w:r w:rsidRPr="00EB00FD">
        <w:rPr>
          <w:rFonts w:ascii="Arial" w:hAnsi="Arial" w:cs="Arial"/>
        </w:rPr>
        <w:t>and</w:t>
      </w:r>
      <w:r w:rsidRPr="00EB00FD">
        <w:rPr>
          <w:rFonts w:ascii="Arial" w:hAnsi="Arial" w:cs="Arial"/>
          <w:spacing w:val="-9"/>
        </w:rPr>
        <w:t xml:space="preserve"> </w:t>
      </w:r>
      <w:r w:rsidRPr="00EB00FD">
        <w:rPr>
          <w:rFonts w:ascii="Arial" w:hAnsi="Arial" w:cs="Arial"/>
        </w:rPr>
        <w:t>exams,</w:t>
      </w:r>
      <w:r w:rsidRPr="00EB00FD">
        <w:rPr>
          <w:rFonts w:ascii="Arial" w:hAnsi="Arial" w:cs="Arial"/>
          <w:spacing w:val="-10"/>
        </w:rPr>
        <w:t xml:space="preserve"> </w:t>
      </w:r>
      <w:r w:rsidRPr="00EB00FD">
        <w:rPr>
          <w:rFonts w:ascii="Arial" w:hAnsi="Arial" w:cs="Arial"/>
        </w:rPr>
        <w:t>and</w:t>
      </w:r>
      <w:r w:rsidRPr="00EB00FD">
        <w:rPr>
          <w:rFonts w:ascii="Arial" w:hAnsi="Arial" w:cs="Arial"/>
          <w:spacing w:val="-10"/>
        </w:rPr>
        <w:t xml:space="preserve"> </w:t>
      </w:r>
      <w:r w:rsidRPr="00EB00FD">
        <w:rPr>
          <w:rFonts w:ascii="Arial" w:hAnsi="Arial" w:cs="Arial"/>
        </w:rPr>
        <w:t xml:space="preserve">transportation </w:t>
      </w:r>
      <w:r w:rsidRPr="00EB00FD">
        <w:rPr>
          <w:rFonts w:ascii="Arial" w:hAnsi="Arial" w:cs="Arial"/>
          <w:spacing w:val="-3"/>
        </w:rPr>
        <w:t>assistance.</w:t>
      </w:r>
    </w:p>
    <w:p w14:paraId="3E81F514" w14:textId="77777777" w:rsidR="0050384F" w:rsidRPr="00EB00FD" w:rsidRDefault="0050384F" w:rsidP="0050384F">
      <w:pPr>
        <w:tabs>
          <w:tab w:val="left" w:pos="2160"/>
          <w:tab w:val="left" w:pos="3559"/>
          <w:tab w:val="left" w:pos="3560"/>
        </w:tabs>
        <w:ind w:left="2160" w:hanging="720"/>
        <w:jc w:val="both"/>
        <w:rPr>
          <w:rFonts w:ascii="Arial" w:hAnsi="Arial" w:cs="Arial"/>
        </w:rPr>
      </w:pPr>
    </w:p>
    <w:p w14:paraId="1AA3E8DE" w14:textId="77777777" w:rsidR="0050384F"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Duplicate</w:t>
      </w:r>
      <w:r w:rsidRPr="00EB00FD">
        <w:rPr>
          <w:rFonts w:ascii="Arial" w:hAnsi="Arial" w:cs="Arial"/>
          <w:spacing w:val="-6"/>
        </w:rPr>
        <w:t xml:space="preserve"> </w:t>
      </w:r>
      <w:r w:rsidRPr="00EB00FD">
        <w:rPr>
          <w:rFonts w:ascii="Arial" w:hAnsi="Arial" w:cs="Arial"/>
        </w:rPr>
        <w:t>Funding.</w:t>
      </w:r>
      <w:r w:rsidRPr="00EB00FD">
        <w:rPr>
          <w:rFonts w:ascii="Arial" w:hAnsi="Arial" w:cs="Arial"/>
          <w:spacing w:val="-5"/>
        </w:rPr>
        <w:t xml:space="preserve"> </w:t>
      </w:r>
      <w:r w:rsidRPr="00EB00FD">
        <w:rPr>
          <w:rFonts w:ascii="Arial" w:hAnsi="Arial" w:cs="Arial"/>
        </w:rPr>
        <w:t>An</w:t>
      </w:r>
      <w:r w:rsidRPr="00EB00FD">
        <w:rPr>
          <w:rFonts w:ascii="Arial" w:hAnsi="Arial" w:cs="Arial"/>
          <w:spacing w:val="-7"/>
        </w:rPr>
        <w:t xml:space="preserve"> </w:t>
      </w:r>
      <w:r w:rsidRPr="00EB00FD">
        <w:rPr>
          <w:rFonts w:ascii="Arial" w:hAnsi="Arial" w:cs="Arial"/>
        </w:rPr>
        <w:t>otherwise</w:t>
      </w:r>
      <w:r w:rsidRPr="00EB00FD">
        <w:rPr>
          <w:rFonts w:ascii="Arial" w:hAnsi="Arial" w:cs="Arial"/>
          <w:spacing w:val="-6"/>
        </w:rPr>
        <w:t xml:space="preserve"> </w:t>
      </w:r>
      <w:r w:rsidRPr="00EB00FD">
        <w:rPr>
          <w:rFonts w:ascii="Arial" w:hAnsi="Arial" w:cs="Arial"/>
        </w:rPr>
        <w:t>eligible</w:t>
      </w:r>
      <w:r w:rsidRPr="00EB00FD">
        <w:rPr>
          <w:rFonts w:ascii="Arial" w:hAnsi="Arial" w:cs="Arial"/>
          <w:spacing w:val="-7"/>
        </w:rPr>
        <w:t xml:space="preserve"> </w:t>
      </w:r>
      <w:r w:rsidRPr="00EB00FD">
        <w:rPr>
          <w:rFonts w:ascii="Arial" w:hAnsi="Arial" w:cs="Arial"/>
        </w:rPr>
        <w:t>cost</w:t>
      </w:r>
      <w:r w:rsidRPr="00EB00FD">
        <w:rPr>
          <w:rFonts w:ascii="Arial" w:hAnsi="Arial" w:cs="Arial"/>
          <w:spacing w:val="-5"/>
        </w:rPr>
        <w:t xml:space="preserve"> </w:t>
      </w:r>
      <w:r w:rsidRPr="00EB00FD">
        <w:rPr>
          <w:rFonts w:ascii="Arial" w:hAnsi="Arial" w:cs="Arial"/>
        </w:rPr>
        <w:t>that</w:t>
      </w:r>
      <w:r w:rsidRPr="00EB00FD">
        <w:rPr>
          <w:rFonts w:ascii="Arial" w:hAnsi="Arial" w:cs="Arial"/>
          <w:spacing w:val="-6"/>
        </w:rPr>
        <w:t xml:space="preserve"> </w:t>
      </w:r>
      <w:r w:rsidRPr="00EB00FD">
        <w:rPr>
          <w:rFonts w:ascii="Arial" w:hAnsi="Arial" w:cs="Arial"/>
        </w:rPr>
        <w:t>is</w:t>
      </w:r>
      <w:r w:rsidRPr="00EB00FD">
        <w:rPr>
          <w:rFonts w:ascii="Arial" w:hAnsi="Arial" w:cs="Arial"/>
          <w:spacing w:val="-6"/>
        </w:rPr>
        <w:t xml:space="preserve"> </w:t>
      </w:r>
      <w:r w:rsidRPr="00EB00FD">
        <w:rPr>
          <w:rFonts w:ascii="Arial" w:hAnsi="Arial" w:cs="Arial"/>
        </w:rPr>
        <w:t>funded</w:t>
      </w:r>
      <w:r w:rsidRPr="00EB00FD">
        <w:rPr>
          <w:rFonts w:ascii="Arial" w:hAnsi="Arial" w:cs="Arial"/>
          <w:spacing w:val="-5"/>
        </w:rPr>
        <w:t xml:space="preserve"> </w:t>
      </w:r>
      <w:r w:rsidRPr="00EB00FD">
        <w:rPr>
          <w:rFonts w:ascii="Arial" w:hAnsi="Arial" w:cs="Arial"/>
        </w:rPr>
        <w:t>by</w:t>
      </w:r>
      <w:r w:rsidRPr="00EB00FD">
        <w:rPr>
          <w:rFonts w:ascii="Arial" w:hAnsi="Arial" w:cs="Arial"/>
          <w:spacing w:val="-6"/>
        </w:rPr>
        <w:t xml:space="preserve"> </w:t>
      </w:r>
      <w:r w:rsidRPr="00EB00FD">
        <w:rPr>
          <w:rFonts w:ascii="Arial" w:hAnsi="Arial" w:cs="Arial"/>
        </w:rPr>
        <w:t>another source and would result in duplicate funding;</w:t>
      </w:r>
      <w:r w:rsidRPr="00EB00FD">
        <w:rPr>
          <w:rFonts w:ascii="Arial" w:hAnsi="Arial" w:cs="Arial"/>
          <w:spacing w:val="-6"/>
        </w:rPr>
        <w:t xml:space="preserve"> </w:t>
      </w:r>
      <w:r w:rsidRPr="00EB00FD">
        <w:rPr>
          <w:rFonts w:ascii="Arial" w:hAnsi="Arial" w:cs="Arial"/>
        </w:rPr>
        <w:t>and</w:t>
      </w:r>
    </w:p>
    <w:p w14:paraId="1D295601" w14:textId="77777777" w:rsidR="0050384F" w:rsidRPr="00EB00FD" w:rsidRDefault="0050384F" w:rsidP="0050384F">
      <w:pPr>
        <w:pStyle w:val="ListParagraph"/>
        <w:tabs>
          <w:tab w:val="left" w:pos="1440"/>
          <w:tab w:val="left" w:pos="2839"/>
          <w:tab w:val="left" w:pos="2840"/>
        </w:tabs>
        <w:ind w:left="1440"/>
        <w:jc w:val="both"/>
        <w:rPr>
          <w:rFonts w:ascii="Arial" w:hAnsi="Arial" w:cs="Arial"/>
        </w:rPr>
      </w:pPr>
    </w:p>
    <w:p w14:paraId="55D53788" w14:textId="77777777" w:rsidR="0050384F" w:rsidRPr="00EB00FD" w:rsidRDefault="0050384F" w:rsidP="0050384F">
      <w:pPr>
        <w:pStyle w:val="ListParagraph"/>
        <w:widowControl w:val="0"/>
        <w:numPr>
          <w:ilvl w:val="2"/>
          <w:numId w:val="70"/>
        </w:numPr>
        <w:tabs>
          <w:tab w:val="left" w:pos="1440"/>
          <w:tab w:val="left" w:pos="2839"/>
          <w:tab w:val="left" w:pos="2840"/>
        </w:tabs>
        <w:suppressAutoHyphens w:val="0"/>
        <w:adjustRightInd/>
        <w:ind w:left="1440"/>
        <w:jc w:val="both"/>
        <w:rPr>
          <w:rFonts w:ascii="Arial" w:hAnsi="Arial" w:cs="Arial"/>
        </w:rPr>
      </w:pPr>
      <w:r w:rsidRPr="00EB00FD">
        <w:rPr>
          <w:rFonts w:ascii="Arial" w:hAnsi="Arial" w:cs="Arial"/>
        </w:rPr>
        <w:t xml:space="preserve">Other Activities. Any other activities and costs that HUD may determine are ineligible on a case-by-case basis, consistent with the 1937 Act and its </w:t>
      </w:r>
      <w:r w:rsidRPr="00EB00FD">
        <w:rPr>
          <w:rFonts w:ascii="Arial" w:hAnsi="Arial" w:cs="Arial"/>
          <w:spacing w:val="-3"/>
        </w:rPr>
        <w:t>regulations.</w:t>
      </w:r>
    </w:p>
    <w:p w14:paraId="37425B53" w14:textId="77777777" w:rsidR="0050384F" w:rsidRDefault="0050384F" w:rsidP="0050384F">
      <w:pPr>
        <w:jc w:val="both"/>
        <w:rPr>
          <w:rFonts w:ascii="Arial" w:hAnsi="Arial" w:cs="Arial"/>
          <w:bCs/>
          <w:i/>
          <w:iCs/>
        </w:rPr>
      </w:pPr>
    </w:p>
    <w:p w14:paraId="59DCE6D7" w14:textId="5B12E1E4" w:rsidR="00225F9C" w:rsidRDefault="0050384F" w:rsidP="0050384F">
      <w:pPr>
        <w:jc w:val="both"/>
        <w:rPr>
          <w:rFonts w:ascii="Arial" w:hAnsi="Arial" w:cs="Arial"/>
          <w:bCs/>
          <w:i/>
          <w:iCs/>
        </w:rPr>
      </w:pPr>
      <w:r w:rsidRPr="0050384F">
        <w:rPr>
          <w:rFonts w:ascii="Arial" w:hAnsi="Arial" w:cs="Arial"/>
          <w:bCs/>
          <w:i/>
          <w:iCs/>
        </w:rPr>
        <w:t>(Source: 202</w:t>
      </w:r>
      <w:r>
        <w:rPr>
          <w:rFonts w:ascii="Arial" w:hAnsi="Arial" w:cs="Arial"/>
          <w:bCs/>
          <w:i/>
          <w:iCs/>
        </w:rPr>
        <w:t>5</w:t>
      </w:r>
      <w:r w:rsidRPr="0050384F">
        <w:rPr>
          <w:rFonts w:ascii="Arial" w:hAnsi="Arial" w:cs="Arial"/>
          <w:bCs/>
          <w:i/>
          <w:iCs/>
        </w:rPr>
        <w:t xml:space="preserve"> OMB Compliance Supplement, Part 4, HUD, #14.872 Public Housing Capital Fund)</w:t>
      </w:r>
    </w:p>
    <w:p w14:paraId="5C654703" w14:textId="77777777" w:rsidR="0050384F" w:rsidRPr="0050384F" w:rsidRDefault="0050384F" w:rsidP="0050384F">
      <w:pPr>
        <w:jc w:val="both"/>
        <w:rPr>
          <w:rFonts w:ascii="Arial" w:hAnsi="Arial" w:cs="Arial"/>
          <w:bCs/>
          <w:i/>
          <w:iCs/>
        </w:rPr>
      </w:pP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2535230"/>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2535231"/>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253523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2535233"/>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68D5B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2535234"/>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BAAC207"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7"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8"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2535235"/>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5A5737C8" w:rsidR="00545700" w:rsidRPr="00F00D94" w:rsidRDefault="00545700" w:rsidP="006672EA">
      <w:pPr>
        <w:spacing w:after="240"/>
        <w:jc w:val="both"/>
        <w:rPr>
          <w:rFonts w:ascii="Arial" w:hAnsi="Arial" w:cs="Arial"/>
        </w:rPr>
      </w:pPr>
      <w:hyperlink r:id="rId49"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ABB7139" w14:textId="6DFBD607" w:rsidR="00DD6E5C" w:rsidRPr="00EB00FD" w:rsidRDefault="00DD6E5C" w:rsidP="00DD6E5C">
      <w:pPr>
        <w:pStyle w:val="BodyText"/>
        <w:jc w:val="both"/>
        <w:rPr>
          <w:rFonts w:ascii="Arial" w:hAnsi="Arial" w:cs="Arial"/>
          <w:szCs w:val="20"/>
        </w:rPr>
      </w:pPr>
      <w:r w:rsidRPr="00EB00FD">
        <w:rPr>
          <w:rFonts w:ascii="Arial" w:hAnsi="Arial" w:cs="Arial"/>
          <w:szCs w:val="20"/>
        </w:rPr>
        <w:t xml:space="preserve">Allocation of Costs with Other Programs. Where the physical or management improvement costs will benefit programs other than public housing, such as the Housing Choice Voucher program or local revitalization programs, Capital Fund-eligible costs are limited to the amount directly attributable to the public housing program. The amount of salary, including bonuses, of PHA chief executive officers, other officers, and employees paid with Section 8 Housing Choice Vouchers administrative fees and Section 9 Capital and Operating funds may not exceed the annual rate of basic pay payable for a federal position at Level IV of the Executive Schedule 1 (Section 227 of Pub. L. No. 113-235, 128 Stat. 2756, December 16, 2014, and carried forward in each subsequent appropriations act). Implementing guidance has been </w:t>
      </w:r>
      <w:r w:rsidRPr="00742DAB">
        <w:rPr>
          <w:rFonts w:ascii="Arial" w:hAnsi="Arial" w:cs="Arial"/>
          <w:szCs w:val="20"/>
        </w:rPr>
        <w:t xml:space="preserve">issued in </w:t>
      </w:r>
      <w:hyperlink r:id="rId50">
        <w:r w:rsidRPr="00742DAB">
          <w:rPr>
            <w:rFonts w:ascii="Arial" w:hAnsi="Arial" w:cs="Arial"/>
            <w:color w:val="0000FF"/>
            <w:szCs w:val="20"/>
            <w:u w:val="single" w:color="0000FF"/>
          </w:rPr>
          <w:t>PIH Notice 2016-14</w:t>
        </w:r>
        <w:r w:rsidRPr="00742DAB">
          <w:rPr>
            <w:rFonts w:ascii="Arial" w:hAnsi="Arial" w:cs="Arial"/>
            <w:szCs w:val="20"/>
          </w:rPr>
          <w:t>,</w:t>
        </w:r>
      </w:hyperlink>
      <w:r w:rsidRPr="00742DAB">
        <w:rPr>
          <w:rFonts w:ascii="Arial" w:hAnsi="Arial" w:cs="Arial"/>
          <w:szCs w:val="20"/>
        </w:rPr>
        <w:t xml:space="preserve"> “Guidance on Public Housing Agency (PHA) salary restriction in HUD’s annual appropriations.” The Executive Pay Schedule may be obtained at </w:t>
      </w:r>
      <w:hyperlink r:id="rId51">
        <w:r w:rsidRPr="00742DAB">
          <w:rPr>
            <w:rFonts w:ascii="Arial" w:hAnsi="Arial" w:cs="Arial"/>
            <w:color w:val="0000FF"/>
            <w:szCs w:val="20"/>
            <w:u w:val="single" w:color="0000FF"/>
          </w:rPr>
          <w:t>https://www.opm.gov/policy-data-oversight/pay-leave/salaries-wages/salary-</w:t>
        </w:r>
      </w:hyperlink>
      <w:r w:rsidRPr="00742DAB">
        <w:rPr>
          <w:rFonts w:ascii="Arial" w:hAnsi="Arial" w:cs="Arial"/>
          <w:color w:val="0000FF"/>
          <w:szCs w:val="20"/>
        </w:rPr>
        <w:t xml:space="preserve"> </w:t>
      </w:r>
      <w:hyperlink r:id="rId52">
        <w:r w:rsidRPr="00742DAB">
          <w:rPr>
            <w:rFonts w:ascii="Arial" w:hAnsi="Arial" w:cs="Arial"/>
            <w:color w:val="0000FF"/>
            <w:szCs w:val="20"/>
            <w:u w:val="single" w:color="0000FF"/>
          </w:rPr>
          <w:t>tables/pdf/2023/EX.pdf</w:t>
        </w:r>
      </w:hyperlink>
      <w:r w:rsidRPr="00742DAB">
        <w:rPr>
          <w:rFonts w:ascii="Arial" w:hAnsi="Arial" w:cs="Arial"/>
          <w:szCs w:val="20"/>
        </w:rPr>
        <w:t xml:space="preserve"> (24 CFR section 1006.370(b)).</w:t>
      </w:r>
    </w:p>
    <w:p w14:paraId="23F36064" w14:textId="77777777" w:rsidR="00DD6E5C" w:rsidRDefault="00DD6E5C" w:rsidP="00DD6E5C">
      <w:pPr>
        <w:pStyle w:val="BodyText"/>
        <w:spacing w:after="0"/>
        <w:jc w:val="both"/>
        <w:rPr>
          <w:rFonts w:ascii="Arial" w:hAnsi="Arial" w:cs="Arial"/>
          <w:b/>
          <w:bCs/>
          <w:szCs w:val="20"/>
        </w:rPr>
      </w:pPr>
      <w:r w:rsidRPr="00EB00FD">
        <w:rPr>
          <w:rFonts w:ascii="Arial" w:hAnsi="Arial" w:cs="Arial"/>
          <w:b/>
          <w:bCs/>
          <w:szCs w:val="20"/>
        </w:rPr>
        <w:t>1.</w:t>
      </w:r>
      <w:r w:rsidRPr="00EB00FD">
        <w:rPr>
          <w:rFonts w:ascii="Arial" w:hAnsi="Arial" w:cs="Arial"/>
          <w:b/>
          <w:bCs/>
          <w:szCs w:val="20"/>
        </w:rPr>
        <w:tab/>
        <w:t>Insurance Proceeds</w:t>
      </w:r>
    </w:p>
    <w:p w14:paraId="26F9DF1A" w14:textId="77777777" w:rsidR="00AE286E" w:rsidRPr="00EB00FD" w:rsidRDefault="00AE286E" w:rsidP="00DD6E5C">
      <w:pPr>
        <w:pStyle w:val="BodyText"/>
        <w:spacing w:after="0"/>
        <w:jc w:val="both"/>
        <w:rPr>
          <w:rFonts w:ascii="Arial" w:hAnsi="Arial" w:cs="Arial"/>
          <w:b/>
          <w:bCs/>
          <w:szCs w:val="20"/>
        </w:rPr>
      </w:pPr>
    </w:p>
    <w:p w14:paraId="194456D6" w14:textId="11952CC8" w:rsidR="00DD6E5C" w:rsidRDefault="00DD6E5C" w:rsidP="00DD6E5C">
      <w:pPr>
        <w:pStyle w:val="BodyText"/>
        <w:spacing w:after="0"/>
        <w:ind w:left="720"/>
        <w:jc w:val="both"/>
        <w:rPr>
          <w:rFonts w:ascii="Arial" w:hAnsi="Arial" w:cs="Arial"/>
          <w:szCs w:val="20"/>
        </w:rPr>
      </w:pPr>
      <w:r w:rsidRPr="00EB00FD">
        <w:rPr>
          <w:rFonts w:ascii="Arial" w:hAnsi="Arial" w:cs="Arial"/>
          <w:szCs w:val="20"/>
        </w:rPr>
        <w:t>PHAs are required to use insurance proceeds to promptly restore, reconstruct, and/or repair any damaged or destroyed property of a project, except when a written approval of HUD instructs a PHA to do otherwise. Unspent insurance proceeds are normally recorded as cash-restricted modernization and development, FDS line 112, up to the amount of the repair (Section 13 of Part A of ACC).</w:t>
      </w:r>
    </w:p>
    <w:p w14:paraId="1586400E" w14:textId="77777777" w:rsidR="00DD6E5C" w:rsidRPr="00EB00FD" w:rsidRDefault="00DD6E5C" w:rsidP="00DD6E5C">
      <w:pPr>
        <w:pStyle w:val="BodyText"/>
        <w:spacing w:after="0"/>
        <w:ind w:left="720"/>
        <w:jc w:val="both"/>
        <w:rPr>
          <w:rFonts w:ascii="Arial" w:hAnsi="Arial" w:cs="Arial"/>
          <w:szCs w:val="20"/>
        </w:rPr>
      </w:pPr>
    </w:p>
    <w:p w14:paraId="1662AE7F" w14:textId="6F699CCC" w:rsidR="00DD6E5C" w:rsidRDefault="00DD6E5C" w:rsidP="00DD6E5C">
      <w:pPr>
        <w:pStyle w:val="BodyText"/>
        <w:spacing w:after="0"/>
        <w:ind w:left="720"/>
        <w:jc w:val="both"/>
        <w:rPr>
          <w:rFonts w:ascii="Arial" w:hAnsi="Arial" w:cs="Arial"/>
          <w:szCs w:val="20"/>
        </w:rPr>
      </w:pPr>
      <w:r w:rsidRPr="00EB00FD">
        <w:rPr>
          <w:rFonts w:ascii="Arial" w:hAnsi="Arial" w:cs="Arial"/>
          <w:i/>
          <w:szCs w:val="20"/>
        </w:rPr>
        <w:t xml:space="preserve">Emergency and Natural Disaster Reserve </w:t>
      </w:r>
      <w:r w:rsidRPr="00EB00FD">
        <w:rPr>
          <w:rFonts w:ascii="Arial" w:hAnsi="Arial" w:cs="Arial"/>
          <w:szCs w:val="20"/>
        </w:rPr>
        <w:t>– In cases of unforeseeable and unpreventable emergencies that include damages to the physical structure of the housing stock, PHAs may request funding from the Emergency and Natural Disaster Reserve of the Capital Fund, an appropriated set-aside of the Capital Fund. Such grants would have a “D” or an “E” as the fifth character in the grant number. The approval for these grants requires that the PHA pay first from any insurance proceeds, but while the PHA’s warranty or insurance policy may cover the damages fully or partially, it usually takes time for the PHA to receive the insurance proceeds. These grant funds may be used to cover any costs not met with insurance proceeds, but any remaining funds must be returned to HUD. If these grant funds are used before insurance proceeds are received, the PHA must pay back the Emergency and Natural Disaster Reserve.</w:t>
      </w:r>
    </w:p>
    <w:p w14:paraId="51E4F171" w14:textId="77777777" w:rsidR="00DD6E5C" w:rsidRPr="00EB00FD" w:rsidRDefault="00DD6E5C" w:rsidP="00DD6E5C">
      <w:pPr>
        <w:pStyle w:val="BodyText"/>
        <w:spacing w:after="0"/>
        <w:jc w:val="both"/>
        <w:rPr>
          <w:rFonts w:ascii="Arial" w:hAnsi="Arial" w:cs="Arial"/>
          <w:szCs w:val="20"/>
        </w:rPr>
      </w:pPr>
    </w:p>
    <w:p w14:paraId="62CD0A30" w14:textId="77777777" w:rsidR="00DD6E5C" w:rsidRDefault="00DD6E5C" w:rsidP="00DD6E5C">
      <w:pPr>
        <w:pStyle w:val="BodyText"/>
        <w:spacing w:before="11"/>
        <w:jc w:val="both"/>
        <w:rPr>
          <w:rFonts w:ascii="Arial" w:eastAsiaTheme="majorEastAsia" w:hAnsi="Arial" w:cs="Arial"/>
          <w:b/>
          <w:bCs/>
          <w:szCs w:val="20"/>
        </w:rPr>
      </w:pPr>
      <w:r w:rsidRPr="00EB00FD">
        <w:rPr>
          <w:rFonts w:ascii="Arial" w:eastAsiaTheme="majorEastAsia" w:hAnsi="Arial" w:cs="Arial"/>
          <w:b/>
          <w:bCs/>
          <w:szCs w:val="20"/>
        </w:rPr>
        <w:t>2.</w:t>
      </w:r>
      <w:r w:rsidRPr="00EB00FD">
        <w:rPr>
          <w:rFonts w:ascii="Arial" w:eastAsiaTheme="majorEastAsia" w:hAnsi="Arial" w:cs="Arial"/>
          <w:b/>
          <w:bCs/>
          <w:szCs w:val="20"/>
        </w:rPr>
        <w:tab/>
        <w:t>Debt Secured to Public Housing Asset</w:t>
      </w:r>
    </w:p>
    <w:p w14:paraId="5D984B17" w14:textId="77777777" w:rsidR="00AE286E" w:rsidRPr="00EB00FD" w:rsidRDefault="00AE286E" w:rsidP="00AE286E">
      <w:pPr>
        <w:pStyle w:val="BodyText"/>
        <w:spacing w:before="11" w:after="0"/>
        <w:jc w:val="both"/>
        <w:rPr>
          <w:rFonts w:ascii="Arial" w:hAnsi="Arial" w:cs="Arial"/>
          <w:b/>
          <w:bCs/>
          <w:szCs w:val="20"/>
        </w:rPr>
      </w:pPr>
    </w:p>
    <w:p w14:paraId="6F0CBB49" w14:textId="77777777" w:rsidR="00DD6E5C" w:rsidRPr="00EB00FD" w:rsidRDefault="00DD6E5C" w:rsidP="00DD6E5C">
      <w:pPr>
        <w:pStyle w:val="BodyText"/>
        <w:ind w:left="720"/>
        <w:jc w:val="both"/>
        <w:rPr>
          <w:rFonts w:ascii="Arial" w:hAnsi="Arial" w:cs="Arial"/>
          <w:szCs w:val="20"/>
        </w:rPr>
      </w:pPr>
      <w:r w:rsidRPr="00EB00FD">
        <w:rPr>
          <w:rFonts w:ascii="Arial" w:hAnsi="Arial" w:cs="Arial"/>
          <w:szCs w:val="20"/>
        </w:rPr>
        <w:t>PHAs are only permitted to borrow funds secured to public housing assets (including real property, other PHA owned property purchased with federal grant funds and CFP grant funds themselves) if they have obtained HUD’s authorization prior to creating a security interest in public housing assets. This requirement does not prohibit a PHA from borrowing funds that are unsecured or that are not secured to public housing assets. In granting the required authorization, HUD will issue both an approval letter as well as a CFFP ACC Amendment (42 USC 1437z-2).</w:t>
      </w:r>
    </w:p>
    <w:p w14:paraId="5876D138" w14:textId="35F6C58B" w:rsidR="00DD6E5C" w:rsidRPr="00DD6E5C" w:rsidRDefault="00DD6E5C" w:rsidP="005C6C7A">
      <w:pPr>
        <w:spacing w:after="240"/>
        <w:jc w:val="both"/>
        <w:rPr>
          <w:rFonts w:ascii="Arial" w:hAnsi="Arial" w:cs="Arial"/>
          <w:bCs/>
          <w:i/>
          <w:iCs/>
        </w:rPr>
      </w:pPr>
      <w:r>
        <w:rPr>
          <w:rFonts w:ascii="Arial" w:hAnsi="Arial" w:cs="Arial"/>
          <w:bCs/>
          <w:i/>
          <w:iCs/>
        </w:rPr>
        <w:t>(Source: 2025 OMB Compliance Supplement, Part 4, HUD, #14.872 Public Housing Capital Fund)</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2535236"/>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253523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2535238"/>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lastRenderedPageBreak/>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 xml:space="preserve">$35 million in direct federal funding must submit its ICRP to its cognizant agency for indirect costs. Other state/local government departments or agencies that are not required to submit a proposal to the cognizant </w:t>
      </w:r>
      <w:r w:rsidRPr="005F0D0C">
        <w:rPr>
          <w:rFonts w:ascii="Arial" w:hAnsi="Arial" w:cs="Arial"/>
        </w:rPr>
        <w:lastRenderedPageBreak/>
        <w:t>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 xml:space="preserve">The indirect cost rate proposal (ICRP) provides the documentation prepared by a state/local government/Indian Tribe department or agency to substantiate its request for the establishment of an </w:t>
      </w:r>
      <w:r w:rsidRPr="00582433">
        <w:rPr>
          <w:rFonts w:ascii="Arial" w:hAnsi="Arial" w:cs="Arial"/>
        </w:rPr>
        <w:lastRenderedPageBreak/>
        <w:t>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lastRenderedPageBreak/>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lastRenderedPageBreak/>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lastRenderedPageBreak/>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792D047C"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3"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w:t>
            </w:r>
            <w:r w:rsidRPr="00F00D94">
              <w:rPr>
                <w:rFonts w:ascii="Arial" w:hAnsi="Arial" w:cs="Arial"/>
                <w:sz w:val="20"/>
              </w:rPr>
              <w:lastRenderedPageBreak/>
              <w:t>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2535239"/>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108443F6"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5"/>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3" w:name="B__LIST_OF_SELECTED_ITEMS"/>
      <w:bookmarkStart w:id="44" w:name="C___CASH_MANAGEMENT"/>
      <w:bookmarkStart w:id="45" w:name="_Toc442267690"/>
      <w:bookmarkStart w:id="46" w:name="_Toc212535240"/>
      <w:bookmarkEnd w:id="43"/>
      <w:bookmarkEnd w:id="44"/>
      <w:r w:rsidRPr="00C95501">
        <w:rPr>
          <w:rFonts w:cs="Arial"/>
          <w:sz w:val="24"/>
        </w:rPr>
        <w:lastRenderedPageBreak/>
        <w:t xml:space="preserve">C. </w:t>
      </w:r>
      <w:r w:rsidR="00341FBE" w:rsidRPr="00C95501">
        <w:rPr>
          <w:rFonts w:cs="Arial"/>
          <w:sz w:val="24"/>
        </w:rPr>
        <w:t>CASH MANAGEMENT</w:t>
      </w:r>
      <w:bookmarkEnd w:id="45"/>
      <w:bookmarkEnd w:id="46"/>
    </w:p>
    <w:p w14:paraId="2DD0D478" w14:textId="77777777" w:rsidR="00341FBE" w:rsidRPr="00C95501" w:rsidRDefault="006A15E5" w:rsidP="006672EA">
      <w:pPr>
        <w:pStyle w:val="Heading3"/>
        <w:jc w:val="both"/>
        <w:rPr>
          <w:rFonts w:cs="Arial"/>
          <w:sz w:val="24"/>
          <w:szCs w:val="24"/>
        </w:rPr>
      </w:pPr>
      <w:bookmarkStart w:id="47" w:name="_Toc442267691"/>
      <w:bookmarkStart w:id="48" w:name="_Toc212535241"/>
      <w:r w:rsidRPr="00C95501">
        <w:rPr>
          <w:rFonts w:cs="Arial"/>
          <w:sz w:val="24"/>
          <w:szCs w:val="24"/>
        </w:rPr>
        <w:t xml:space="preserve">OMB </w:t>
      </w:r>
      <w:r w:rsidR="00341FBE" w:rsidRPr="00C95501">
        <w:rPr>
          <w:rFonts w:cs="Arial"/>
          <w:sz w:val="24"/>
          <w:szCs w:val="24"/>
        </w:rPr>
        <w:t>Compliance Requirements</w:t>
      </w:r>
      <w:bookmarkEnd w:id="47"/>
      <w:bookmarkEnd w:id="48"/>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0AC93AC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56" w:history="1">
        <w:r w:rsidR="003C0E2D" w:rsidRPr="00F00D94">
          <w:rPr>
            <w:rStyle w:val="Hyperlink"/>
            <w:rFonts w:cs="Arial"/>
          </w:rPr>
          <w:t>31 CFR Part 205</w:t>
        </w:r>
      </w:hyperlink>
      <w:r w:rsidRPr="00F00D94">
        <w:rPr>
          <w:rFonts w:ascii="Arial" w:hAnsi="Arial" w:cs="Arial"/>
        </w:rPr>
        <w:t xml:space="preserve">, </w:t>
      </w:r>
      <w:hyperlink r:id="rId57" w:history="1">
        <w:r w:rsidR="00203D3E" w:rsidRPr="00F00D94">
          <w:rPr>
            <w:rStyle w:val="Hyperlink"/>
            <w:rFonts w:cs="Arial"/>
          </w:rPr>
          <w:t>48 CFR 52.216-7(b)</w:t>
        </w:r>
      </w:hyperlink>
      <w:r w:rsidRPr="00F00D94">
        <w:rPr>
          <w:rFonts w:ascii="Arial" w:hAnsi="Arial" w:cs="Arial"/>
        </w:rPr>
        <w:t xml:space="preserve"> and </w:t>
      </w:r>
      <w:hyperlink r:id="rId58"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2D42A311"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9"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0"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61"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CAF7329" w14:textId="77777777" w:rsidR="00D23B8C" w:rsidRPr="00742DAB" w:rsidRDefault="00D23B8C" w:rsidP="00D23B8C">
      <w:pPr>
        <w:pStyle w:val="BodyText"/>
        <w:jc w:val="both"/>
        <w:rPr>
          <w:rFonts w:ascii="Arial" w:hAnsi="Arial" w:cs="Arial"/>
          <w:szCs w:val="20"/>
        </w:rPr>
      </w:pPr>
      <w:r w:rsidRPr="00742DAB">
        <w:rPr>
          <w:rFonts w:ascii="Arial" w:hAnsi="Arial" w:cs="Arial"/>
          <w:szCs w:val="20"/>
        </w:rPr>
        <w:t xml:space="preserve">Congress provides funding for the Public Housing programs through annual appropriation acts. HUD then allocates and awards funding to PHAs in accordance with the appropriations acts. PHAs that have public housing units under an Annual Contributions Contract (ACC,) as described in </w:t>
      </w:r>
      <w:hyperlink r:id="rId62">
        <w:r w:rsidRPr="00742DAB">
          <w:rPr>
            <w:rFonts w:ascii="Arial" w:hAnsi="Arial" w:cs="Arial"/>
            <w:color w:val="0562C1"/>
            <w:szCs w:val="20"/>
            <w:u w:val="single" w:color="0562C1"/>
          </w:rPr>
          <w:t>24 CFR 5.403</w:t>
        </w:r>
      </w:hyperlink>
      <w:r w:rsidRPr="00742DAB">
        <w:rPr>
          <w:rFonts w:ascii="Arial" w:hAnsi="Arial" w:cs="Arial"/>
          <w:color w:val="0562C1"/>
          <w:szCs w:val="20"/>
        </w:rPr>
        <w:t xml:space="preserve"> </w:t>
      </w:r>
      <w:r w:rsidRPr="00742DAB">
        <w:rPr>
          <w:rFonts w:ascii="Arial" w:hAnsi="Arial" w:cs="Arial"/>
          <w:szCs w:val="20"/>
        </w:rPr>
        <w:t xml:space="preserve">are subject to </w:t>
      </w:r>
      <w:hyperlink r:id="rId63">
        <w:r w:rsidRPr="00742DAB">
          <w:rPr>
            <w:rFonts w:ascii="Arial" w:hAnsi="Arial" w:cs="Arial"/>
            <w:color w:val="0562C1"/>
            <w:szCs w:val="20"/>
            <w:u w:val="single" w:color="0562C1"/>
          </w:rPr>
          <w:t>24 CFR Part 905</w:t>
        </w:r>
      </w:hyperlink>
      <w:r w:rsidRPr="00742DAB">
        <w:rPr>
          <w:rFonts w:ascii="Arial" w:hAnsi="Arial" w:cs="Arial"/>
          <w:color w:val="0562C1"/>
          <w:szCs w:val="20"/>
        </w:rPr>
        <w:t xml:space="preserve"> </w:t>
      </w:r>
      <w:r w:rsidRPr="00742DAB">
        <w:rPr>
          <w:rFonts w:ascii="Arial" w:hAnsi="Arial" w:cs="Arial"/>
          <w:szCs w:val="20"/>
        </w:rPr>
        <w:t xml:space="preserve">and </w:t>
      </w:r>
      <w:hyperlink r:id="rId64">
        <w:r w:rsidRPr="00742DAB">
          <w:rPr>
            <w:rFonts w:ascii="Arial" w:hAnsi="Arial" w:cs="Arial"/>
            <w:color w:val="0562C1"/>
            <w:szCs w:val="20"/>
            <w:u w:val="single" w:color="0562C1"/>
          </w:rPr>
          <w:t>24 CFR Part 990</w:t>
        </w:r>
        <w:r w:rsidRPr="00742DAB">
          <w:rPr>
            <w:rFonts w:ascii="Arial" w:hAnsi="Arial" w:cs="Arial"/>
            <w:szCs w:val="20"/>
          </w:rPr>
          <w:t>.</w:t>
        </w:r>
      </w:hyperlink>
      <w:r w:rsidRPr="00742DAB">
        <w:rPr>
          <w:rFonts w:ascii="Arial" w:hAnsi="Arial" w:cs="Arial"/>
          <w:szCs w:val="20"/>
        </w:rPr>
        <w:t xml:space="preserve"> PHAs are to comply with all HUD and Treasury fiscal requirements.</w:t>
      </w:r>
    </w:p>
    <w:p w14:paraId="61E1A8A9" w14:textId="77777777" w:rsidR="00D23B8C" w:rsidRDefault="00D23B8C" w:rsidP="00D23B8C">
      <w:pPr>
        <w:pStyle w:val="BodyText"/>
        <w:jc w:val="both"/>
        <w:rPr>
          <w:rFonts w:ascii="Arial" w:hAnsi="Arial" w:cs="Arial"/>
          <w:szCs w:val="20"/>
        </w:rPr>
      </w:pPr>
      <w:hyperlink r:id="rId65">
        <w:r w:rsidRPr="00742DAB">
          <w:rPr>
            <w:rFonts w:ascii="Arial" w:hAnsi="Arial" w:cs="Arial"/>
            <w:color w:val="0562C1"/>
            <w:szCs w:val="20"/>
            <w:u w:val="single" w:color="0562C1"/>
          </w:rPr>
          <w:t>2 CFR 200.305 for Federal Payments</w:t>
        </w:r>
        <w:r w:rsidRPr="00742DAB">
          <w:rPr>
            <w:rFonts w:ascii="Arial" w:hAnsi="Arial" w:cs="Arial"/>
            <w:color w:val="0562C1"/>
            <w:szCs w:val="20"/>
          </w:rPr>
          <w:t xml:space="preserve"> </w:t>
        </w:r>
      </w:hyperlink>
      <w:r w:rsidRPr="00742DAB">
        <w:rPr>
          <w:rFonts w:ascii="Arial" w:hAnsi="Arial" w:cs="Arial"/>
          <w:szCs w:val="20"/>
        </w:rPr>
        <w:t>and</w:t>
      </w:r>
      <w:hyperlink r:id="rId66">
        <w:r w:rsidRPr="00742DAB">
          <w:rPr>
            <w:rFonts w:ascii="Arial" w:hAnsi="Arial" w:cs="Arial"/>
            <w:color w:val="0562C1"/>
            <w:szCs w:val="20"/>
          </w:rPr>
          <w:t xml:space="preserve"> </w:t>
        </w:r>
        <w:r w:rsidRPr="00742DAB">
          <w:rPr>
            <w:rFonts w:ascii="Arial" w:hAnsi="Arial" w:cs="Arial"/>
            <w:color w:val="0562C1"/>
            <w:szCs w:val="20"/>
            <w:u w:val="single" w:color="0562C1"/>
          </w:rPr>
          <w:t>24 CFR 905.310 for Disbursements from HUD</w:t>
        </w:r>
      </w:hyperlink>
      <w:r w:rsidRPr="00742DAB">
        <w:rPr>
          <w:rFonts w:ascii="Arial" w:hAnsi="Arial" w:cs="Arial"/>
          <w:szCs w:val="20"/>
        </w:rPr>
        <w:t xml:space="preserve"> establish the cash management procedures for controlled disbursement of federal funds.</w:t>
      </w:r>
      <w:hyperlink r:id="rId67">
        <w:r w:rsidRPr="00742DAB">
          <w:rPr>
            <w:rFonts w:ascii="Arial" w:hAnsi="Arial" w:cs="Arial"/>
            <w:color w:val="0562C1"/>
            <w:szCs w:val="20"/>
          </w:rPr>
          <w:t xml:space="preserve"> </w:t>
        </w:r>
        <w:r w:rsidRPr="00742DAB">
          <w:rPr>
            <w:rFonts w:ascii="Arial" w:hAnsi="Arial" w:cs="Arial"/>
            <w:color w:val="0562C1"/>
            <w:szCs w:val="20"/>
            <w:u w:val="single" w:color="0562C1"/>
          </w:rPr>
          <w:t>2</w:t>
        </w:r>
      </w:hyperlink>
      <w:hyperlink r:id="rId68">
        <w:r w:rsidRPr="00742DAB">
          <w:rPr>
            <w:rFonts w:ascii="Arial" w:hAnsi="Arial" w:cs="Arial"/>
            <w:color w:val="0562C1"/>
            <w:szCs w:val="20"/>
            <w:u w:val="single" w:color="0562C1"/>
          </w:rPr>
          <w:t xml:space="preserve"> CFR 200.305</w:t>
        </w:r>
      </w:hyperlink>
      <w:r w:rsidRPr="00742DAB">
        <w:rPr>
          <w:rFonts w:ascii="Arial" w:hAnsi="Arial" w:cs="Arial"/>
          <w:color w:val="0562C1"/>
          <w:szCs w:val="20"/>
        </w:rPr>
        <w:t xml:space="preserve"> </w:t>
      </w:r>
      <w:r w:rsidRPr="00742DAB">
        <w:rPr>
          <w:rFonts w:ascii="Arial" w:hAnsi="Arial" w:cs="Arial"/>
          <w:szCs w:val="20"/>
        </w:rPr>
        <w:t>requires PHAs to minimize the time federal funds are drawn down to</w:t>
      </w:r>
      <w:r>
        <w:rPr>
          <w:rFonts w:ascii="Arial" w:hAnsi="Arial" w:cs="Arial"/>
          <w:szCs w:val="20"/>
        </w:rPr>
        <w:t xml:space="preserve"> </w:t>
      </w:r>
      <w:r w:rsidRPr="00742DAB">
        <w:rPr>
          <w:rFonts w:ascii="Arial" w:hAnsi="Arial" w:cs="Arial"/>
          <w:szCs w:val="20"/>
        </w:rPr>
        <w:t xml:space="preserve">expenditure. The Capital Fund Program provides guidelines of three business days from draw down to expenditure to minimize the interest accrued by the PHA. </w:t>
      </w:r>
      <w:hyperlink r:id="rId69">
        <w:r w:rsidRPr="00742DAB">
          <w:rPr>
            <w:rFonts w:ascii="Arial" w:hAnsi="Arial" w:cs="Arial"/>
            <w:color w:val="0562C1"/>
            <w:szCs w:val="20"/>
            <w:u w:val="single" w:color="0562C1"/>
          </w:rPr>
          <w:t>24 CFR 905.310</w:t>
        </w:r>
      </w:hyperlink>
      <w:r w:rsidRPr="00742DAB">
        <w:rPr>
          <w:rFonts w:ascii="Arial" w:hAnsi="Arial" w:cs="Arial"/>
          <w:color w:val="0562C1"/>
          <w:szCs w:val="20"/>
        </w:rPr>
        <w:t xml:space="preserve"> </w:t>
      </w:r>
      <w:r w:rsidRPr="00742DAB">
        <w:rPr>
          <w:rFonts w:ascii="Arial" w:hAnsi="Arial" w:cs="Arial"/>
          <w:szCs w:val="20"/>
        </w:rPr>
        <w:t xml:space="preserve">states the PHA shall initiate a fund requisition from HUD only when funds are due and payable, unless HUD approves another payment schedule as authorized by </w:t>
      </w:r>
      <w:hyperlink r:id="rId70">
        <w:r w:rsidRPr="00742DAB">
          <w:rPr>
            <w:rFonts w:ascii="Arial" w:hAnsi="Arial" w:cs="Arial"/>
            <w:color w:val="0562C1"/>
            <w:szCs w:val="20"/>
            <w:u w:val="single" w:color="0562C1"/>
          </w:rPr>
          <w:t>2 CFR 200.305</w:t>
        </w:r>
        <w:r w:rsidRPr="00742DAB">
          <w:rPr>
            <w:rFonts w:ascii="Arial" w:hAnsi="Arial" w:cs="Arial"/>
            <w:szCs w:val="20"/>
          </w:rPr>
          <w:t>.</w:t>
        </w:r>
      </w:hyperlink>
    </w:p>
    <w:p w14:paraId="0940637C" w14:textId="49942031" w:rsidR="00D23B8C" w:rsidRPr="00D23B8C" w:rsidRDefault="00D23B8C" w:rsidP="00D23B8C">
      <w:pPr>
        <w:spacing w:after="240"/>
        <w:jc w:val="both"/>
        <w:rPr>
          <w:rFonts w:ascii="Arial" w:hAnsi="Arial" w:cs="Arial"/>
          <w:bCs/>
          <w:i/>
          <w:iCs/>
        </w:rPr>
      </w:pPr>
      <w:r>
        <w:rPr>
          <w:rFonts w:ascii="Arial" w:hAnsi="Arial" w:cs="Arial"/>
          <w:bCs/>
          <w:i/>
          <w:iCs/>
        </w:rPr>
        <w:t>(Source: 2025 OMB Compliance Supplement, Part 4, HUD, #14.872 Public Housing Capital Fund)</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9" w:name="_Toc212535242"/>
      <w:r w:rsidRPr="00C95501">
        <w:rPr>
          <w:rFonts w:cs="Arial"/>
          <w:sz w:val="24"/>
          <w:szCs w:val="24"/>
        </w:rPr>
        <w:t>Additional Program Specific Information</w:t>
      </w:r>
      <w:bookmarkEnd w:id="49"/>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0" w:name="_Toc442267692"/>
      <w:bookmarkStart w:id="51" w:name="_Toc212535243"/>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0"/>
      <w:bookmarkEnd w:id="51"/>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9A3AD9E"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71"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pass-through entities implemented procedures to ensure that payments to subrecipients minimized the time elapsing between transfer of federal funds from the pass-through </w:t>
      </w:r>
      <w:r w:rsidR="00760785" w:rsidRPr="00760785">
        <w:rPr>
          <w:rFonts w:ascii="Arial" w:hAnsi="Arial" w:cs="Arial"/>
        </w:rPr>
        <w:lastRenderedPageBreak/>
        <w:t>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2" w:name="_Toc442267693"/>
      <w:bookmarkStart w:id="53" w:name="_Toc212535244"/>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2"/>
      <w:r w:rsidR="00CC4452">
        <w:rPr>
          <w:rFonts w:cs="Arial"/>
          <w:sz w:val="24"/>
          <w:szCs w:val="24"/>
        </w:rPr>
        <w:t xml:space="preserve"> – Compliance</w:t>
      </w:r>
      <w:bookmarkEnd w:id="53"/>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 xml:space="preserve">Perform tests to ascertain if the recipient or subrecipient requesting reimbursement disbursed funds prior to the date of the request, or (b) meets the conditions allowing for the request for </w:t>
            </w:r>
            <w:r w:rsidRPr="00DB0D15">
              <w:rPr>
                <w:rFonts w:ascii="Arial" w:hAnsi="Arial" w:cs="Arial"/>
                <w:sz w:val="20"/>
                <w:szCs w:val="20"/>
              </w:rPr>
              <w:lastRenderedPageBreak/>
              <w:t>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4" w:name="_Toc438816465"/>
      <w:bookmarkStart w:id="55" w:name="_Toc442267694"/>
    </w:p>
    <w:p w14:paraId="5F477BA8" w14:textId="40F9D9C2" w:rsidR="00FF7307" w:rsidRPr="00220BD0" w:rsidRDefault="002A3BB7" w:rsidP="006672EA">
      <w:pPr>
        <w:pStyle w:val="Heading3"/>
        <w:jc w:val="both"/>
        <w:rPr>
          <w:rFonts w:cs="Arial"/>
          <w:b w:val="0"/>
          <w:sz w:val="24"/>
          <w:szCs w:val="24"/>
        </w:rPr>
      </w:pPr>
      <w:bookmarkStart w:id="56" w:name="_Toc212535245"/>
      <w:r w:rsidRPr="00220BD0">
        <w:rPr>
          <w:rFonts w:cs="Arial"/>
          <w:sz w:val="24"/>
          <w:szCs w:val="24"/>
        </w:rPr>
        <w:t>Audit Implications Summary</w:t>
      </w:r>
      <w:bookmarkEnd w:id="54"/>
      <w:bookmarkEnd w:id="55"/>
      <w:bookmarkEnd w:id="56"/>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1887013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3"/>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7" w:name="_Toc442267698"/>
      <w:bookmarkStart w:id="58" w:name="_Toc212535246"/>
      <w:r w:rsidRPr="00220BD0">
        <w:rPr>
          <w:rFonts w:cs="Arial"/>
          <w:sz w:val="24"/>
        </w:rPr>
        <w:lastRenderedPageBreak/>
        <w:t xml:space="preserve">H.  PERIOD </w:t>
      </w:r>
      <w:r w:rsidR="00F12052" w:rsidRPr="00220BD0">
        <w:rPr>
          <w:rFonts w:cs="Arial"/>
          <w:sz w:val="24"/>
        </w:rPr>
        <w:t>OF PERFORMANCE</w:t>
      </w:r>
      <w:bookmarkEnd w:id="57"/>
      <w:bookmarkEnd w:id="58"/>
    </w:p>
    <w:p w14:paraId="07D5A30C" w14:textId="635B47C0" w:rsidR="007E5B12" w:rsidRPr="00220BD0" w:rsidRDefault="004655E0" w:rsidP="006672EA">
      <w:pPr>
        <w:pStyle w:val="Heading3"/>
        <w:jc w:val="both"/>
        <w:rPr>
          <w:rFonts w:cs="Arial"/>
          <w:sz w:val="24"/>
          <w:szCs w:val="24"/>
        </w:rPr>
      </w:pPr>
      <w:bookmarkStart w:id="59" w:name="_Toc212535247"/>
      <w:r w:rsidRPr="00220BD0">
        <w:rPr>
          <w:rFonts w:cs="Arial"/>
          <w:sz w:val="24"/>
          <w:szCs w:val="24"/>
        </w:rPr>
        <w:t xml:space="preserve">OMB </w:t>
      </w:r>
      <w:r w:rsidR="007E5B12" w:rsidRPr="00220BD0">
        <w:rPr>
          <w:rFonts w:cs="Arial"/>
          <w:sz w:val="24"/>
          <w:szCs w:val="24"/>
        </w:rPr>
        <w:t>Compliance Requirements</w:t>
      </w:r>
      <w:bookmarkEnd w:id="59"/>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661AEF2" w14:textId="0993DDAC" w:rsidR="00D23B8C" w:rsidRPr="00742DAB" w:rsidRDefault="00D23B8C" w:rsidP="00D23B8C">
      <w:pPr>
        <w:tabs>
          <w:tab w:val="left" w:pos="0"/>
        </w:tabs>
        <w:jc w:val="both"/>
        <w:rPr>
          <w:rFonts w:ascii="Arial" w:hAnsi="Arial" w:cs="Arial"/>
          <w:b/>
          <w:bCs/>
        </w:rPr>
      </w:pPr>
      <w:r w:rsidRPr="00742DAB">
        <w:rPr>
          <w:rFonts w:ascii="Arial" w:hAnsi="Arial" w:cs="Arial"/>
          <w:b/>
          <w:bCs/>
        </w:rPr>
        <w:t>1.</w:t>
      </w:r>
      <w:r w:rsidRPr="00742DAB">
        <w:rPr>
          <w:rFonts w:ascii="Arial" w:hAnsi="Arial" w:cs="Arial"/>
          <w:b/>
          <w:bCs/>
        </w:rPr>
        <w:tab/>
        <w:t>Obligations</w:t>
      </w:r>
    </w:p>
    <w:p w14:paraId="2C8148E4" w14:textId="77777777" w:rsidR="00D23B8C" w:rsidRPr="00742DAB" w:rsidRDefault="00D23B8C" w:rsidP="00D23B8C">
      <w:pPr>
        <w:tabs>
          <w:tab w:val="left" w:pos="0"/>
        </w:tabs>
        <w:jc w:val="both"/>
        <w:rPr>
          <w:rFonts w:ascii="Arial" w:hAnsi="Arial" w:cs="Arial"/>
        </w:rPr>
      </w:pPr>
    </w:p>
    <w:p w14:paraId="76D61789" w14:textId="77777777" w:rsidR="00D23B8C" w:rsidRPr="00742DAB" w:rsidRDefault="00D23B8C" w:rsidP="00D23B8C">
      <w:pPr>
        <w:tabs>
          <w:tab w:val="left" w:pos="720"/>
        </w:tabs>
        <w:ind w:left="720"/>
        <w:jc w:val="both"/>
        <w:rPr>
          <w:rFonts w:ascii="Arial" w:hAnsi="Arial" w:cs="Arial"/>
        </w:rPr>
      </w:pPr>
      <w:r w:rsidRPr="00742DAB">
        <w:rPr>
          <w:rFonts w:ascii="Arial" w:hAnsi="Arial" w:cs="Arial"/>
        </w:rPr>
        <w:t>Unless an extension is approved by HUD, a PHA must obligate at least 90 percent of each Capital Fund grant, including formula grants, non-accumulating RHF, natural disaster, and lead-based paint grants within 24 months of the funds becoming available to the PHA for obligation. For emergency grants, safety and security grants and safety and security-carbon monoxide grants, the PHA must obligate at least 90 percent within twelve months of the funds becoming available. The funds become available when HUD executes the Annual Contributions Contract (ACC) Amendment (24 CFR section 905.306).</w:t>
      </w:r>
    </w:p>
    <w:p w14:paraId="0E51D244" w14:textId="77777777" w:rsidR="00D23B8C" w:rsidRPr="00742DAB" w:rsidRDefault="00D23B8C" w:rsidP="00D23B8C">
      <w:pPr>
        <w:tabs>
          <w:tab w:val="left" w:pos="630"/>
          <w:tab w:val="left" w:pos="720"/>
        </w:tabs>
        <w:ind w:left="720"/>
        <w:jc w:val="both"/>
        <w:rPr>
          <w:rFonts w:ascii="Arial" w:hAnsi="Arial" w:cs="Arial"/>
        </w:rPr>
      </w:pPr>
    </w:p>
    <w:p w14:paraId="73FC38F7" w14:textId="77777777" w:rsidR="00D23B8C" w:rsidRPr="00742DAB" w:rsidRDefault="00D23B8C" w:rsidP="00D23B8C">
      <w:pPr>
        <w:tabs>
          <w:tab w:val="left" w:pos="630"/>
          <w:tab w:val="left" w:pos="720"/>
        </w:tabs>
        <w:ind w:left="720"/>
        <w:jc w:val="both"/>
        <w:rPr>
          <w:rFonts w:ascii="Arial" w:hAnsi="Arial" w:cs="Arial"/>
        </w:rPr>
      </w:pPr>
      <w:r w:rsidRPr="00742DAB">
        <w:rPr>
          <w:rFonts w:ascii="Arial" w:hAnsi="Arial" w:cs="Arial"/>
        </w:rPr>
        <w:t>Obligation means a binding agreement for work or financing that will result in outlays, immediately or in the future. All obligations must be incorporated within the CFP 5- Year Action Plan that has been approved by the PHA Board of Commissioners and HUD. This includes funds obligated by the PHA for work to be performed by contract labor (i.e., contract award), or by force account labor (i.e., work actually started by PHA employees). Capital Funds identified in the PHA's CFP 5-Year Action Plan to be transferred to operations are obligated by the PHA once the funds have been budgeted and drawn down by the PHA. Once these funds are drawn down they are subject to the requirements of 24 CFR part 990.</w:t>
      </w:r>
    </w:p>
    <w:p w14:paraId="2E2259C3" w14:textId="77777777" w:rsidR="00D23B8C" w:rsidRPr="00742DAB" w:rsidRDefault="00D23B8C" w:rsidP="00D23B8C">
      <w:pPr>
        <w:tabs>
          <w:tab w:val="left" w:pos="630"/>
          <w:tab w:val="left" w:pos="720"/>
        </w:tabs>
        <w:ind w:left="720"/>
        <w:jc w:val="both"/>
        <w:rPr>
          <w:rFonts w:ascii="Arial" w:hAnsi="Arial" w:cs="Arial"/>
        </w:rPr>
      </w:pPr>
    </w:p>
    <w:p w14:paraId="76DA5565" w14:textId="77777777" w:rsidR="00D23B8C" w:rsidRPr="00742DAB" w:rsidRDefault="00D23B8C" w:rsidP="00D23B8C">
      <w:pPr>
        <w:tabs>
          <w:tab w:val="left" w:pos="630"/>
          <w:tab w:val="left" w:pos="720"/>
        </w:tabs>
        <w:ind w:left="720"/>
        <w:jc w:val="both"/>
        <w:rPr>
          <w:rFonts w:ascii="Arial" w:hAnsi="Arial" w:cs="Arial"/>
        </w:rPr>
      </w:pPr>
      <w:r w:rsidRPr="00742DAB">
        <w:rPr>
          <w:rFonts w:ascii="Arial" w:hAnsi="Arial" w:cs="Arial"/>
        </w:rPr>
        <w:t>The date of the contract signing is the obligation date. If the parties sign the contract at different times, the date of the last signature is the obligation date. In some instances, a purchase order would constitute an obligation (e.g., large items such as stoves or refrigerators). All obligations should reflect work items detailed in the approved 5-year action plan.</w:t>
      </w:r>
    </w:p>
    <w:p w14:paraId="310AEF71" w14:textId="77777777" w:rsidR="00D23B8C" w:rsidRPr="00742DAB" w:rsidRDefault="00D23B8C" w:rsidP="00D23B8C">
      <w:pPr>
        <w:tabs>
          <w:tab w:val="left" w:pos="0"/>
          <w:tab w:val="left" w:pos="720"/>
        </w:tabs>
        <w:ind w:left="720"/>
        <w:jc w:val="both"/>
        <w:rPr>
          <w:rFonts w:ascii="Arial" w:hAnsi="Arial" w:cs="Arial"/>
        </w:rPr>
      </w:pPr>
    </w:p>
    <w:p w14:paraId="0B907D53" w14:textId="77777777" w:rsidR="00D23B8C" w:rsidRPr="00742DAB" w:rsidRDefault="00D23B8C" w:rsidP="00D23B8C">
      <w:pPr>
        <w:tabs>
          <w:tab w:val="left" w:pos="0"/>
        </w:tabs>
        <w:jc w:val="both"/>
        <w:rPr>
          <w:rFonts w:ascii="Arial" w:hAnsi="Arial" w:cs="Arial"/>
          <w:b/>
          <w:bCs/>
        </w:rPr>
      </w:pPr>
      <w:r w:rsidRPr="00742DAB">
        <w:rPr>
          <w:rFonts w:ascii="Arial" w:hAnsi="Arial" w:cs="Arial"/>
          <w:b/>
          <w:bCs/>
        </w:rPr>
        <w:t>2.</w:t>
      </w:r>
      <w:r w:rsidRPr="00742DAB">
        <w:rPr>
          <w:rFonts w:ascii="Arial" w:hAnsi="Arial" w:cs="Arial"/>
          <w:b/>
          <w:bCs/>
        </w:rPr>
        <w:tab/>
        <w:t>Expenditures</w:t>
      </w:r>
    </w:p>
    <w:p w14:paraId="41248044" w14:textId="77777777" w:rsidR="00D23B8C" w:rsidRPr="00742DAB" w:rsidRDefault="00D23B8C" w:rsidP="00D23B8C">
      <w:pPr>
        <w:tabs>
          <w:tab w:val="left" w:pos="0"/>
        </w:tabs>
        <w:jc w:val="both"/>
        <w:rPr>
          <w:rFonts w:ascii="Arial" w:hAnsi="Arial" w:cs="Arial"/>
        </w:rPr>
      </w:pPr>
    </w:p>
    <w:p w14:paraId="30598380" w14:textId="77777777" w:rsidR="00D23B8C" w:rsidRDefault="00D23B8C" w:rsidP="00D23B8C">
      <w:pPr>
        <w:tabs>
          <w:tab w:val="left" w:pos="720"/>
        </w:tabs>
        <w:ind w:left="720"/>
        <w:jc w:val="both"/>
        <w:rPr>
          <w:rFonts w:ascii="Arial" w:hAnsi="Arial" w:cs="Arial"/>
        </w:rPr>
      </w:pPr>
      <w:r w:rsidRPr="00742DAB">
        <w:rPr>
          <w:rFonts w:ascii="Arial" w:hAnsi="Arial" w:cs="Arial"/>
        </w:rPr>
        <w:t>For Capital Fund formula, RHF, natural disaster, and lead-based paint grants, unless HUD approves an extension, a PHA must expend all grant funds no later than 48 months after HUD executes the ACC Amendment (24 CFR section 905.306(f)).</w:t>
      </w:r>
    </w:p>
    <w:p w14:paraId="216E4C83" w14:textId="77777777" w:rsidR="00FA684C" w:rsidRPr="00742DAB" w:rsidRDefault="00FA684C" w:rsidP="00D23B8C">
      <w:pPr>
        <w:tabs>
          <w:tab w:val="left" w:pos="720"/>
        </w:tabs>
        <w:ind w:left="720"/>
        <w:jc w:val="both"/>
        <w:rPr>
          <w:rFonts w:ascii="Arial" w:hAnsi="Arial" w:cs="Arial"/>
        </w:rPr>
      </w:pPr>
    </w:p>
    <w:p w14:paraId="75169452" w14:textId="77777777" w:rsidR="00D23B8C" w:rsidRPr="00742DAB" w:rsidRDefault="00D23B8C" w:rsidP="00D23B8C">
      <w:pPr>
        <w:tabs>
          <w:tab w:val="left" w:pos="720"/>
        </w:tabs>
        <w:ind w:left="720"/>
        <w:jc w:val="both"/>
        <w:rPr>
          <w:rFonts w:ascii="Arial" w:hAnsi="Arial" w:cs="Arial"/>
        </w:rPr>
      </w:pPr>
      <w:r w:rsidRPr="00742DAB">
        <w:rPr>
          <w:rFonts w:ascii="Arial" w:hAnsi="Arial" w:cs="Arial"/>
        </w:rPr>
        <w:t>However, for emergency grants, safety and security grants and safety and security- carbon monoxide grants, a PHA must expend all grant funds no later than 24 months after HUD executes the ACC Amendment if such a requirement is contained in the ACC Amendment.</w:t>
      </w:r>
    </w:p>
    <w:p w14:paraId="7E451149" w14:textId="77777777" w:rsidR="00D23B8C" w:rsidRPr="00742DAB" w:rsidRDefault="00D23B8C" w:rsidP="00D23B8C">
      <w:pPr>
        <w:tabs>
          <w:tab w:val="left" w:pos="720"/>
        </w:tabs>
        <w:ind w:left="720"/>
        <w:jc w:val="both"/>
        <w:rPr>
          <w:rFonts w:ascii="Arial" w:hAnsi="Arial" w:cs="Arial"/>
        </w:rPr>
      </w:pPr>
    </w:p>
    <w:p w14:paraId="3AB51555" w14:textId="77777777" w:rsidR="00D23B8C" w:rsidRPr="00742DAB" w:rsidRDefault="00D23B8C" w:rsidP="00D23B8C">
      <w:pPr>
        <w:tabs>
          <w:tab w:val="left" w:pos="720"/>
        </w:tabs>
        <w:ind w:left="720"/>
        <w:jc w:val="both"/>
        <w:rPr>
          <w:rFonts w:ascii="Arial" w:hAnsi="Arial" w:cs="Arial"/>
        </w:rPr>
      </w:pPr>
      <w:r w:rsidRPr="00742DAB">
        <w:rPr>
          <w:rFonts w:ascii="Arial" w:hAnsi="Arial" w:cs="Arial"/>
        </w:rPr>
        <w:t>A PHA must also expend 100% percent of the authorized amount of a Capital Fund grant within 48 months of the date that funds are made available, or the obligation start date. (24 CFR section 905.306).</w:t>
      </w:r>
    </w:p>
    <w:p w14:paraId="3036043F" w14:textId="48F428F4" w:rsidR="00D23B8C" w:rsidRPr="00742DAB" w:rsidRDefault="00D23B8C" w:rsidP="00D23B8C">
      <w:pPr>
        <w:tabs>
          <w:tab w:val="left" w:pos="0"/>
        </w:tabs>
        <w:jc w:val="both"/>
        <w:rPr>
          <w:rFonts w:ascii="Arial" w:hAnsi="Arial" w:cs="Arial"/>
        </w:rPr>
      </w:pPr>
      <w:r w:rsidRPr="00742DAB">
        <w:rPr>
          <w:rFonts w:ascii="Arial" w:hAnsi="Arial" w:cs="Arial"/>
        </w:rPr>
        <w:t xml:space="preserve"> </w:t>
      </w:r>
    </w:p>
    <w:p w14:paraId="234DAB65" w14:textId="77777777" w:rsidR="00D23B8C" w:rsidRPr="00742DAB" w:rsidRDefault="00D23B8C" w:rsidP="00D23B8C">
      <w:pPr>
        <w:tabs>
          <w:tab w:val="left" w:pos="0"/>
        </w:tabs>
        <w:jc w:val="both"/>
        <w:rPr>
          <w:rFonts w:ascii="Arial" w:hAnsi="Arial" w:cs="Arial"/>
          <w:b/>
          <w:bCs/>
        </w:rPr>
      </w:pPr>
      <w:r w:rsidRPr="00742DAB">
        <w:rPr>
          <w:rFonts w:ascii="Arial" w:hAnsi="Arial" w:cs="Arial"/>
          <w:b/>
          <w:bCs/>
        </w:rPr>
        <w:t>3.</w:t>
      </w:r>
      <w:r w:rsidRPr="00742DAB">
        <w:rPr>
          <w:rFonts w:ascii="Arial" w:hAnsi="Arial" w:cs="Arial"/>
          <w:b/>
          <w:bCs/>
        </w:rPr>
        <w:tab/>
        <w:t>Capital Funds for Operating Costs</w:t>
      </w:r>
    </w:p>
    <w:p w14:paraId="75B5189B" w14:textId="77777777" w:rsidR="00D23B8C" w:rsidRPr="00742DAB" w:rsidRDefault="00D23B8C" w:rsidP="00D23B8C">
      <w:pPr>
        <w:tabs>
          <w:tab w:val="left" w:pos="0"/>
        </w:tabs>
        <w:jc w:val="both"/>
        <w:rPr>
          <w:rFonts w:ascii="Arial" w:hAnsi="Arial" w:cs="Arial"/>
        </w:rPr>
      </w:pPr>
    </w:p>
    <w:p w14:paraId="4EC6D62F" w14:textId="7DA30FBA" w:rsidR="00D23B8C" w:rsidRDefault="00D23B8C" w:rsidP="00D23B8C">
      <w:pPr>
        <w:tabs>
          <w:tab w:val="left" w:pos="720"/>
        </w:tabs>
        <w:ind w:left="720"/>
        <w:jc w:val="both"/>
        <w:rPr>
          <w:rFonts w:ascii="Arial" w:hAnsi="Arial" w:cs="Arial"/>
        </w:rPr>
      </w:pPr>
      <w:r w:rsidRPr="00742DAB">
        <w:rPr>
          <w:rFonts w:ascii="Arial" w:hAnsi="Arial" w:cs="Arial"/>
        </w:rPr>
        <w:t>Capital Funds transferred to operations (BLI 1406) are not considered obligated until the PHA has budgeted and drawn down the funds. To meet this requirement, the funds must be budgeted in line BLI 1406 (Operations) and the PHA must submit the voucher request in LOCCS. The PHA’s reported obligation amount in LOCCS must be the same amount in the PHA’s accounting system since the date of the voucher request in LOCCS is the point of obligation for funds in BLI 1406. The voucher request date must occur before those funds are reported as obligated in LOCCS under the Obligation &amp; Expenditure tab (24 CFR section 905.314(l)).</w:t>
      </w:r>
    </w:p>
    <w:p w14:paraId="2D1196B0" w14:textId="77777777" w:rsidR="00D23B8C" w:rsidRPr="00D23B8C" w:rsidRDefault="00D23B8C" w:rsidP="00D23B8C">
      <w:pPr>
        <w:tabs>
          <w:tab w:val="left" w:pos="720"/>
        </w:tabs>
        <w:ind w:left="720"/>
        <w:jc w:val="both"/>
        <w:rPr>
          <w:rFonts w:ascii="Arial" w:hAnsi="Arial" w:cs="Arial"/>
        </w:rPr>
      </w:pPr>
    </w:p>
    <w:p w14:paraId="4D71373B" w14:textId="316C1AB8" w:rsidR="00D23B8C" w:rsidRPr="00D23B8C" w:rsidRDefault="00D23B8C" w:rsidP="00D74E6A">
      <w:pPr>
        <w:spacing w:after="240"/>
        <w:jc w:val="both"/>
        <w:rPr>
          <w:rFonts w:ascii="Arial" w:hAnsi="Arial" w:cs="Arial"/>
          <w:bCs/>
          <w:i/>
          <w:iCs/>
        </w:rPr>
      </w:pPr>
      <w:r>
        <w:rPr>
          <w:rFonts w:ascii="Arial" w:hAnsi="Arial" w:cs="Arial"/>
          <w:bCs/>
          <w:i/>
          <w:iCs/>
        </w:rPr>
        <w:t>(Source: 2025 OMB Compliance Supplement, Part 4, HUD, #14.872 Public Housing Capital Fund)</w:t>
      </w:r>
    </w:p>
    <w:p w14:paraId="620B48E1" w14:textId="77777777" w:rsidR="00FC7102" w:rsidRPr="00220BD0" w:rsidRDefault="00FC7102" w:rsidP="006672EA">
      <w:pPr>
        <w:pStyle w:val="Heading3"/>
        <w:jc w:val="both"/>
        <w:rPr>
          <w:rFonts w:cs="Arial"/>
          <w:sz w:val="24"/>
          <w:szCs w:val="24"/>
        </w:rPr>
      </w:pPr>
      <w:bookmarkStart w:id="60" w:name="_Toc212535248"/>
      <w:r w:rsidRPr="00220BD0">
        <w:rPr>
          <w:rFonts w:cs="Arial"/>
          <w:sz w:val="24"/>
          <w:szCs w:val="24"/>
        </w:rPr>
        <w:t>Additional Program Specific Information</w:t>
      </w:r>
      <w:bookmarkEnd w:id="6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1" w:name="_Toc212535249"/>
      <w:r w:rsidRPr="00220BD0">
        <w:rPr>
          <w:rFonts w:cs="Arial"/>
          <w:sz w:val="24"/>
          <w:szCs w:val="24"/>
        </w:rPr>
        <w:t xml:space="preserve">Audit Objectives </w:t>
      </w:r>
      <w:r w:rsidR="00C30DAB" w:rsidRPr="00220BD0">
        <w:rPr>
          <w:rFonts w:cs="Arial"/>
          <w:sz w:val="24"/>
          <w:szCs w:val="24"/>
        </w:rPr>
        <w:t>and Control Testing</w:t>
      </w:r>
      <w:bookmarkEnd w:id="6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2" w:name="_Toc21253525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w:t>
            </w:r>
            <w:r w:rsidR="002839CB" w:rsidRPr="00F00D94">
              <w:rPr>
                <w:rFonts w:ascii="Arial" w:hAnsi="Arial" w:cs="Arial"/>
                <w:sz w:val="20"/>
              </w:rPr>
              <w:lastRenderedPageBreak/>
              <w:t xml:space="preserve">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3" w:name="_Toc212535251"/>
      <w:r w:rsidRPr="00220BD0">
        <w:rPr>
          <w:rFonts w:cs="Arial"/>
          <w:sz w:val="24"/>
          <w:szCs w:val="24"/>
        </w:rPr>
        <w:t>Audit Implications Summary</w:t>
      </w:r>
      <w:bookmarkEnd w:id="6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6569619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4" w:name="J___PROGRAM_INCOME"/>
      <w:bookmarkStart w:id="65" w:name="L___REPORTING"/>
      <w:bookmarkStart w:id="66" w:name="_Toc442267701"/>
      <w:bookmarkStart w:id="67" w:name="_Toc212535252"/>
      <w:bookmarkEnd w:id="64"/>
      <w:bookmarkEnd w:id="65"/>
      <w:r w:rsidRPr="000706D1">
        <w:rPr>
          <w:rFonts w:cs="Arial"/>
          <w:sz w:val="24"/>
        </w:rPr>
        <w:lastRenderedPageBreak/>
        <w:t>L.  REPORTING</w:t>
      </w:r>
      <w:bookmarkEnd w:id="66"/>
      <w:bookmarkEnd w:id="67"/>
    </w:p>
    <w:p w14:paraId="13BAAFFB" w14:textId="16BE9FED" w:rsidR="007E5B12" w:rsidRPr="000706D1" w:rsidRDefault="00261D87" w:rsidP="006672EA">
      <w:pPr>
        <w:pStyle w:val="Heading3"/>
        <w:jc w:val="both"/>
        <w:rPr>
          <w:rFonts w:cs="Arial"/>
          <w:sz w:val="24"/>
          <w:szCs w:val="24"/>
        </w:rPr>
      </w:pPr>
      <w:bookmarkStart w:id="68" w:name="_Toc212535253"/>
      <w:r w:rsidRPr="000706D1">
        <w:rPr>
          <w:rFonts w:cs="Arial"/>
          <w:sz w:val="24"/>
          <w:szCs w:val="24"/>
        </w:rPr>
        <w:t xml:space="preserve">OMB </w:t>
      </w:r>
      <w:r w:rsidR="007E5B12" w:rsidRPr="000706D1">
        <w:rPr>
          <w:rFonts w:cs="Arial"/>
          <w:sz w:val="24"/>
          <w:szCs w:val="24"/>
        </w:rPr>
        <w:t>Compliance Requirements</w:t>
      </w:r>
      <w:bookmarkEnd w:id="68"/>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0E2A41F0"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76"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07B479F0" w:rsidR="00271D8B" w:rsidRPr="00FA684C"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i/>
          <w:iCs/>
          <w:u w:val="single"/>
        </w:rPr>
      </w:pPr>
      <w:r w:rsidRPr="00F00D94">
        <w:rPr>
          <w:rFonts w:ascii="Arial" w:hAnsi="Arial" w:cs="Arial"/>
          <w:b/>
          <w:u w:val="single"/>
        </w:rPr>
        <w:t>Federal Funding Accountability and Transparency Act</w:t>
      </w:r>
      <w:r w:rsidR="00FA684C">
        <w:rPr>
          <w:rFonts w:ascii="Arial" w:hAnsi="Arial" w:cs="Arial"/>
          <w:b/>
          <w:u w:val="single"/>
        </w:rPr>
        <w:t xml:space="preserve"> </w:t>
      </w:r>
      <w:r w:rsidR="00FA684C" w:rsidRPr="00FA684C">
        <w:rPr>
          <w:rFonts w:ascii="Arial" w:hAnsi="Arial" w:cs="Arial"/>
          <w:bCs/>
          <w:color w:val="002060"/>
        </w:rPr>
        <w:t xml:space="preserve">– </w:t>
      </w:r>
      <w:r w:rsidR="00FA684C" w:rsidRPr="00FA684C">
        <w:rPr>
          <w:rFonts w:ascii="Arial" w:hAnsi="Arial" w:cs="Arial"/>
          <w:bCs/>
          <w:i/>
          <w:iCs/>
          <w:color w:val="002060"/>
        </w:rPr>
        <w:t>Not Applicable</w:t>
      </w:r>
      <w:r w:rsidR="00FA684C" w:rsidRPr="00FA684C">
        <w:rPr>
          <w:rFonts w:ascii="Arial" w:hAnsi="Arial" w:cs="Arial"/>
          <w:b/>
          <w:i/>
          <w:iCs/>
          <w:color w:val="002060"/>
          <w:u w:val="single"/>
        </w:rPr>
        <w:t xml:space="preserve"> </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4E6DBA68" w14:textId="7316E847" w:rsidR="00D74E6A" w:rsidRDefault="009F5C5E" w:rsidP="00D74E6A">
      <w:pPr>
        <w:spacing w:after="240"/>
        <w:jc w:val="both"/>
        <w:rPr>
          <w:rFonts w:ascii="Arial" w:hAnsi="Arial" w:cs="Arial"/>
          <w:bCs/>
          <w:highlight w:val="yellow"/>
        </w:rPr>
      </w:pPr>
      <w:r w:rsidRPr="000706D1">
        <w:rPr>
          <w:rFonts w:ascii="Arial" w:hAnsi="Arial" w:cs="Arial"/>
          <w:b/>
          <w:sz w:val="24"/>
          <w:szCs w:val="24"/>
        </w:rPr>
        <w:t>Part 4 OMB Program Specific Requirements</w:t>
      </w:r>
    </w:p>
    <w:p w14:paraId="729230AB" w14:textId="77777777" w:rsidR="00D85166" w:rsidRPr="00D85166" w:rsidRDefault="00D85166" w:rsidP="00D85166">
      <w:pPr>
        <w:widowControl w:val="0"/>
        <w:numPr>
          <w:ilvl w:val="1"/>
          <w:numId w:val="71"/>
        </w:numPr>
        <w:tabs>
          <w:tab w:val="left" w:pos="720"/>
        </w:tabs>
        <w:autoSpaceDE w:val="0"/>
        <w:autoSpaceDN w:val="0"/>
        <w:ind w:left="720"/>
        <w:jc w:val="both"/>
        <w:rPr>
          <w:rFonts w:ascii="Arial" w:hAnsi="Arial" w:cs="Arial"/>
          <w:b/>
        </w:rPr>
      </w:pPr>
      <w:r w:rsidRPr="00D85166">
        <w:rPr>
          <w:rFonts w:ascii="Arial" w:hAnsi="Arial" w:cs="Arial"/>
          <w:b/>
        </w:rPr>
        <w:t>Financial</w:t>
      </w:r>
      <w:r w:rsidRPr="00D85166">
        <w:rPr>
          <w:rFonts w:ascii="Arial" w:hAnsi="Arial" w:cs="Arial"/>
          <w:b/>
          <w:spacing w:val="-1"/>
        </w:rPr>
        <w:t xml:space="preserve"> </w:t>
      </w:r>
      <w:r w:rsidRPr="00D85166">
        <w:rPr>
          <w:rFonts w:ascii="Arial" w:hAnsi="Arial" w:cs="Arial"/>
          <w:b/>
        </w:rPr>
        <w:t>Reporting</w:t>
      </w:r>
    </w:p>
    <w:p w14:paraId="6D61F80B" w14:textId="77777777" w:rsidR="00D85166" w:rsidRPr="00D85166" w:rsidRDefault="00D85166" w:rsidP="00D85166">
      <w:pPr>
        <w:widowControl w:val="0"/>
        <w:numPr>
          <w:ilvl w:val="2"/>
          <w:numId w:val="71"/>
        </w:numPr>
        <w:tabs>
          <w:tab w:val="left" w:pos="1440"/>
          <w:tab w:val="left" w:pos="2839"/>
          <w:tab w:val="left" w:pos="2840"/>
        </w:tabs>
        <w:autoSpaceDE w:val="0"/>
        <w:autoSpaceDN w:val="0"/>
        <w:spacing w:before="182"/>
        <w:ind w:left="1440"/>
        <w:jc w:val="both"/>
        <w:rPr>
          <w:rFonts w:ascii="Arial" w:hAnsi="Arial" w:cs="Arial"/>
        </w:rPr>
      </w:pPr>
      <w:r w:rsidRPr="00D85166">
        <w:rPr>
          <w:rFonts w:ascii="Arial" w:hAnsi="Arial" w:cs="Arial"/>
          <w:i/>
        </w:rPr>
        <w:t>SF-270</w:t>
      </w:r>
      <w:r w:rsidRPr="00D85166">
        <w:rPr>
          <w:rFonts w:ascii="Arial" w:hAnsi="Arial" w:cs="Arial"/>
        </w:rPr>
        <w:t xml:space="preserve">, </w:t>
      </w:r>
      <w:r w:rsidRPr="00D85166">
        <w:rPr>
          <w:rFonts w:ascii="Arial" w:hAnsi="Arial" w:cs="Arial"/>
          <w:i/>
        </w:rPr>
        <w:t>Request for Advance or Reimbursement</w:t>
      </w:r>
      <w:r w:rsidRPr="00D85166">
        <w:rPr>
          <w:rFonts w:ascii="Arial" w:hAnsi="Arial" w:cs="Arial"/>
        </w:rPr>
        <w:t>- Not</w:t>
      </w:r>
      <w:r w:rsidRPr="00D85166">
        <w:rPr>
          <w:rFonts w:ascii="Arial" w:hAnsi="Arial" w:cs="Arial"/>
          <w:spacing w:val="-3"/>
        </w:rPr>
        <w:t xml:space="preserve"> </w:t>
      </w:r>
      <w:r w:rsidRPr="00D85166">
        <w:rPr>
          <w:rFonts w:ascii="Arial" w:hAnsi="Arial" w:cs="Arial"/>
        </w:rPr>
        <w:t>applicable</w:t>
      </w:r>
    </w:p>
    <w:p w14:paraId="6275BBCD" w14:textId="77777777" w:rsidR="00D85166" w:rsidRPr="00D85166" w:rsidRDefault="00D85166" w:rsidP="00D85166">
      <w:pPr>
        <w:widowControl w:val="0"/>
        <w:numPr>
          <w:ilvl w:val="2"/>
          <w:numId w:val="71"/>
        </w:numPr>
        <w:tabs>
          <w:tab w:val="left" w:pos="1440"/>
          <w:tab w:val="left" w:pos="2839"/>
          <w:tab w:val="left" w:pos="2840"/>
        </w:tabs>
        <w:autoSpaceDE w:val="0"/>
        <w:autoSpaceDN w:val="0"/>
        <w:spacing w:before="182" w:line="259" w:lineRule="auto"/>
        <w:ind w:left="1440" w:right="658"/>
        <w:jc w:val="both"/>
        <w:rPr>
          <w:rFonts w:ascii="Arial" w:hAnsi="Arial" w:cs="Arial"/>
        </w:rPr>
      </w:pPr>
      <w:r w:rsidRPr="00D85166">
        <w:rPr>
          <w:rFonts w:ascii="Arial" w:hAnsi="Arial" w:cs="Arial"/>
          <w:i/>
        </w:rPr>
        <w:t>SF-271</w:t>
      </w:r>
      <w:r w:rsidRPr="00D85166">
        <w:rPr>
          <w:rFonts w:ascii="Arial" w:hAnsi="Arial" w:cs="Arial"/>
        </w:rPr>
        <w:t xml:space="preserve">, </w:t>
      </w:r>
      <w:r w:rsidRPr="00D85166">
        <w:rPr>
          <w:rFonts w:ascii="Arial" w:hAnsi="Arial" w:cs="Arial"/>
          <w:i/>
        </w:rPr>
        <w:t xml:space="preserve">Outlay Report and Request for Reimbursement for Construction Program </w:t>
      </w:r>
      <w:r w:rsidRPr="00D85166">
        <w:rPr>
          <w:rFonts w:ascii="Arial" w:hAnsi="Arial" w:cs="Arial"/>
        </w:rPr>
        <w:t>– Not</w:t>
      </w:r>
      <w:r w:rsidRPr="00D85166">
        <w:rPr>
          <w:rFonts w:ascii="Arial" w:hAnsi="Arial" w:cs="Arial"/>
          <w:spacing w:val="-2"/>
        </w:rPr>
        <w:t xml:space="preserve"> </w:t>
      </w:r>
      <w:r w:rsidRPr="00D85166">
        <w:rPr>
          <w:rFonts w:ascii="Arial" w:hAnsi="Arial" w:cs="Arial"/>
        </w:rPr>
        <w:t>applicable</w:t>
      </w:r>
    </w:p>
    <w:p w14:paraId="59B28069" w14:textId="77777777" w:rsidR="00D85166" w:rsidRPr="00D85166" w:rsidRDefault="00D85166" w:rsidP="00D85166">
      <w:pPr>
        <w:widowControl w:val="0"/>
        <w:numPr>
          <w:ilvl w:val="2"/>
          <w:numId w:val="71"/>
        </w:numPr>
        <w:tabs>
          <w:tab w:val="left" w:pos="1440"/>
          <w:tab w:val="left" w:pos="2839"/>
          <w:tab w:val="left" w:pos="2840"/>
        </w:tabs>
        <w:autoSpaceDE w:val="0"/>
        <w:autoSpaceDN w:val="0"/>
        <w:spacing w:before="160"/>
        <w:ind w:left="1440"/>
        <w:jc w:val="both"/>
        <w:rPr>
          <w:rFonts w:ascii="Arial" w:hAnsi="Arial" w:cs="Arial"/>
        </w:rPr>
      </w:pPr>
      <w:r w:rsidRPr="00D85166">
        <w:rPr>
          <w:rFonts w:ascii="Arial" w:hAnsi="Arial" w:cs="Arial"/>
          <w:i/>
        </w:rPr>
        <w:t>SF-425</w:t>
      </w:r>
      <w:r w:rsidRPr="00D85166">
        <w:rPr>
          <w:rFonts w:ascii="Arial" w:hAnsi="Arial" w:cs="Arial"/>
        </w:rPr>
        <w:t xml:space="preserve">, </w:t>
      </w:r>
      <w:r w:rsidRPr="00D85166">
        <w:rPr>
          <w:rFonts w:ascii="Arial" w:hAnsi="Arial" w:cs="Arial"/>
          <w:i/>
        </w:rPr>
        <w:t>Federal Financial Report</w:t>
      </w:r>
      <w:r w:rsidRPr="00D85166">
        <w:rPr>
          <w:rFonts w:ascii="Arial" w:hAnsi="Arial" w:cs="Arial"/>
        </w:rPr>
        <w:t>- Not</w:t>
      </w:r>
      <w:r w:rsidRPr="00D85166">
        <w:rPr>
          <w:rFonts w:ascii="Arial" w:hAnsi="Arial" w:cs="Arial"/>
          <w:spacing w:val="-1"/>
        </w:rPr>
        <w:t xml:space="preserve"> </w:t>
      </w:r>
      <w:r w:rsidRPr="00D85166">
        <w:rPr>
          <w:rFonts w:ascii="Arial" w:hAnsi="Arial" w:cs="Arial"/>
        </w:rPr>
        <w:t>applicable</w:t>
      </w:r>
    </w:p>
    <w:p w14:paraId="2FF52D4A" w14:textId="77777777" w:rsidR="00D85166" w:rsidRPr="00D85166" w:rsidRDefault="00D85166" w:rsidP="00D85166">
      <w:pPr>
        <w:widowControl w:val="0"/>
        <w:numPr>
          <w:ilvl w:val="2"/>
          <w:numId w:val="71"/>
        </w:numPr>
        <w:tabs>
          <w:tab w:val="left" w:pos="1440"/>
          <w:tab w:val="left" w:pos="2839"/>
          <w:tab w:val="left" w:pos="2840"/>
        </w:tabs>
        <w:autoSpaceDE w:val="0"/>
        <w:autoSpaceDN w:val="0"/>
        <w:spacing w:before="181" w:line="259" w:lineRule="auto"/>
        <w:ind w:left="1440" w:right="398"/>
        <w:jc w:val="both"/>
        <w:rPr>
          <w:rFonts w:ascii="Arial" w:hAnsi="Arial" w:cs="Arial"/>
        </w:rPr>
      </w:pPr>
      <w:r w:rsidRPr="00D85166">
        <w:rPr>
          <w:rFonts w:ascii="Arial" w:hAnsi="Arial" w:cs="Arial"/>
          <w:i/>
        </w:rPr>
        <w:t>HUD-53001</w:t>
      </w:r>
      <w:r w:rsidRPr="00D85166">
        <w:rPr>
          <w:rFonts w:ascii="Arial" w:hAnsi="Arial" w:cs="Arial"/>
        </w:rPr>
        <w:t xml:space="preserve">, </w:t>
      </w:r>
      <w:r w:rsidRPr="00D85166">
        <w:rPr>
          <w:rFonts w:ascii="Arial" w:hAnsi="Arial" w:cs="Arial"/>
          <w:i/>
        </w:rPr>
        <w:t xml:space="preserve">Actual Modernization Cost Certificate (AMCC) Capital Fund Program </w:t>
      </w:r>
      <w:r w:rsidRPr="00D85166">
        <w:rPr>
          <w:rFonts w:ascii="Arial" w:hAnsi="Arial" w:cs="Arial"/>
        </w:rPr>
        <w:t>(OMB No.</w:t>
      </w:r>
      <w:r w:rsidRPr="00D85166">
        <w:rPr>
          <w:rFonts w:ascii="Arial" w:hAnsi="Arial" w:cs="Arial"/>
          <w:spacing w:val="-3"/>
        </w:rPr>
        <w:t xml:space="preserve"> </w:t>
      </w:r>
      <w:r w:rsidRPr="00D85166">
        <w:rPr>
          <w:rFonts w:ascii="Arial" w:hAnsi="Arial" w:cs="Arial"/>
        </w:rPr>
        <w:t>2577-0157)</w:t>
      </w:r>
    </w:p>
    <w:p w14:paraId="6BD72DFF" w14:textId="77777777" w:rsidR="00D85166" w:rsidRPr="00D85166" w:rsidRDefault="00D85166" w:rsidP="00D85166">
      <w:pPr>
        <w:widowControl w:val="0"/>
        <w:tabs>
          <w:tab w:val="left" w:pos="720"/>
        </w:tabs>
        <w:autoSpaceDE w:val="0"/>
        <w:autoSpaceDN w:val="0"/>
        <w:spacing w:before="160" w:after="120"/>
        <w:ind w:left="720"/>
        <w:jc w:val="both"/>
        <w:rPr>
          <w:rFonts w:ascii="Arial" w:hAnsi="Arial" w:cs="Arial"/>
        </w:rPr>
      </w:pPr>
      <w:r w:rsidRPr="00D85166">
        <w:rPr>
          <w:rFonts w:ascii="Arial" w:hAnsi="Arial" w:cs="Arial"/>
        </w:rPr>
        <w:t>Report authority: 24 CFR 905.324 Data Reporting Requirements</w:t>
      </w:r>
    </w:p>
    <w:p w14:paraId="390C7FBB" w14:textId="278CA2C1" w:rsidR="00D85166" w:rsidRPr="00D85166" w:rsidRDefault="00D85166" w:rsidP="00D85166">
      <w:pPr>
        <w:widowControl w:val="0"/>
        <w:tabs>
          <w:tab w:val="left" w:pos="1440"/>
        </w:tabs>
        <w:autoSpaceDE w:val="0"/>
        <w:autoSpaceDN w:val="0"/>
        <w:spacing w:before="181" w:after="120" w:line="259" w:lineRule="auto"/>
        <w:ind w:left="720" w:right="468"/>
        <w:jc w:val="both"/>
        <w:rPr>
          <w:rFonts w:ascii="Arial" w:hAnsi="Arial" w:cs="Arial"/>
        </w:rPr>
      </w:pPr>
      <w:r w:rsidRPr="00D85166">
        <w:rPr>
          <w:rFonts w:ascii="Arial" w:hAnsi="Arial" w:cs="Arial"/>
        </w:rPr>
        <w:t>For modernization projects, the PHA shall submit the AMCC within 90 days after Expenditure End Date. To initiate the closeout process, the PHA shall submit the AMCC which details actual costs incurred between the DOFA date and the completion of the modernization project.</w:t>
      </w:r>
    </w:p>
    <w:p w14:paraId="2F8CF895" w14:textId="77777777" w:rsidR="00D85166" w:rsidRPr="00D85166" w:rsidRDefault="00D85166" w:rsidP="00D85166">
      <w:pPr>
        <w:widowControl w:val="0"/>
        <w:tabs>
          <w:tab w:val="left" w:pos="720"/>
        </w:tabs>
        <w:autoSpaceDE w:val="0"/>
        <w:autoSpaceDN w:val="0"/>
        <w:spacing w:before="159" w:after="120"/>
        <w:ind w:left="720"/>
        <w:jc w:val="both"/>
        <w:rPr>
          <w:rFonts w:ascii="Arial" w:hAnsi="Arial" w:cs="Arial"/>
        </w:rPr>
      </w:pPr>
      <w:r w:rsidRPr="00D85166">
        <w:rPr>
          <w:rFonts w:ascii="Arial" w:hAnsi="Arial" w:cs="Arial"/>
        </w:rPr>
        <w:t>Key line items: The following line items contain critical information</w:t>
      </w:r>
    </w:p>
    <w:p w14:paraId="4E294930" w14:textId="77777777" w:rsidR="00D85166" w:rsidRPr="00D85166" w:rsidRDefault="00D85166" w:rsidP="00D85166">
      <w:pPr>
        <w:widowControl w:val="0"/>
        <w:numPr>
          <w:ilvl w:val="3"/>
          <w:numId w:val="71"/>
        </w:numPr>
        <w:tabs>
          <w:tab w:val="left" w:pos="2160"/>
          <w:tab w:val="left" w:pos="3559"/>
          <w:tab w:val="left" w:pos="3560"/>
        </w:tabs>
        <w:autoSpaceDE w:val="0"/>
        <w:autoSpaceDN w:val="0"/>
        <w:ind w:left="2160" w:right="273"/>
        <w:jc w:val="both"/>
        <w:rPr>
          <w:rFonts w:ascii="Arial" w:hAnsi="Arial" w:cs="Arial"/>
        </w:rPr>
      </w:pPr>
      <w:r w:rsidRPr="00D85166">
        <w:rPr>
          <w:rFonts w:ascii="Arial" w:hAnsi="Arial" w:cs="Arial"/>
          <w:b/>
        </w:rPr>
        <w:lastRenderedPageBreak/>
        <w:t xml:space="preserve">Line 1B, Funds Disbursed </w:t>
      </w:r>
      <w:r w:rsidRPr="00D85166">
        <w:rPr>
          <w:rFonts w:ascii="Arial" w:hAnsi="Arial" w:cs="Arial"/>
        </w:rPr>
        <w:t>- For the identified grant, enter the total funds disbursed by HUD. This amount may never exceed the amount on line</w:t>
      </w:r>
      <w:r w:rsidRPr="00D85166">
        <w:rPr>
          <w:rFonts w:ascii="Arial" w:hAnsi="Arial" w:cs="Arial"/>
          <w:spacing w:val="-1"/>
        </w:rPr>
        <w:t xml:space="preserve"> </w:t>
      </w:r>
      <w:r w:rsidRPr="00D85166">
        <w:rPr>
          <w:rFonts w:ascii="Arial" w:hAnsi="Arial" w:cs="Arial"/>
        </w:rPr>
        <w:t>1A.</w:t>
      </w:r>
    </w:p>
    <w:p w14:paraId="20E9A735" w14:textId="77777777" w:rsidR="00D85166" w:rsidRPr="00D85166" w:rsidRDefault="00D85166" w:rsidP="00D85166">
      <w:pPr>
        <w:widowControl w:val="0"/>
        <w:tabs>
          <w:tab w:val="left" w:pos="2160"/>
          <w:tab w:val="left" w:pos="3559"/>
          <w:tab w:val="left" w:pos="3560"/>
        </w:tabs>
        <w:autoSpaceDE w:val="0"/>
        <w:autoSpaceDN w:val="0"/>
        <w:ind w:left="2160" w:right="273" w:hanging="720"/>
        <w:jc w:val="both"/>
        <w:rPr>
          <w:rFonts w:ascii="Arial" w:hAnsi="Arial" w:cs="Arial"/>
        </w:rPr>
      </w:pPr>
    </w:p>
    <w:p w14:paraId="3EC05DE4" w14:textId="77777777" w:rsidR="00D85166" w:rsidRPr="00D85166" w:rsidRDefault="00D85166" w:rsidP="00D85166">
      <w:pPr>
        <w:widowControl w:val="0"/>
        <w:numPr>
          <w:ilvl w:val="3"/>
          <w:numId w:val="71"/>
        </w:numPr>
        <w:tabs>
          <w:tab w:val="left" w:pos="2160"/>
          <w:tab w:val="left" w:pos="3559"/>
          <w:tab w:val="left" w:pos="3560"/>
        </w:tabs>
        <w:autoSpaceDE w:val="0"/>
        <w:autoSpaceDN w:val="0"/>
        <w:ind w:left="2160" w:right="271"/>
        <w:jc w:val="both"/>
        <w:rPr>
          <w:rFonts w:ascii="Arial" w:hAnsi="Arial" w:cs="Arial"/>
        </w:rPr>
      </w:pPr>
      <w:r w:rsidRPr="00D85166">
        <w:rPr>
          <w:rFonts w:ascii="Arial" w:hAnsi="Arial" w:cs="Arial"/>
          <w:b/>
        </w:rPr>
        <w:t xml:space="preserve">Line 1E, Excess of Funds Disbursed (B minus C) - </w:t>
      </w:r>
      <w:r w:rsidRPr="00D85166">
        <w:rPr>
          <w:rFonts w:ascii="Arial" w:hAnsi="Arial" w:cs="Arial"/>
        </w:rPr>
        <w:t>For the identified grant, enter the excess of funds disbursed by subtracting line 1C from line 1B; this is the amount to be remitted by the PHA to HUD. If line 1C is greater than line 1B, enter the figure in brackets; this is the amount of funds owed by HUD to the</w:t>
      </w:r>
      <w:r w:rsidRPr="00D85166">
        <w:rPr>
          <w:rFonts w:ascii="Arial" w:hAnsi="Arial" w:cs="Arial"/>
          <w:spacing w:val="-7"/>
        </w:rPr>
        <w:t xml:space="preserve"> </w:t>
      </w:r>
      <w:r w:rsidRPr="00D85166">
        <w:rPr>
          <w:rFonts w:ascii="Arial" w:hAnsi="Arial" w:cs="Arial"/>
        </w:rPr>
        <w:t>PHA.</w:t>
      </w:r>
    </w:p>
    <w:p w14:paraId="74DED229" w14:textId="77777777" w:rsidR="00D85166" w:rsidRPr="00D85166" w:rsidRDefault="00D85166" w:rsidP="00D85166">
      <w:pPr>
        <w:widowControl w:val="0"/>
        <w:tabs>
          <w:tab w:val="left" w:pos="720"/>
          <w:tab w:val="left" w:pos="2160"/>
          <w:tab w:val="left" w:pos="3559"/>
          <w:tab w:val="left" w:pos="3560"/>
        </w:tabs>
        <w:autoSpaceDE w:val="0"/>
        <w:autoSpaceDN w:val="0"/>
        <w:ind w:left="2160" w:right="271" w:hanging="720"/>
        <w:jc w:val="both"/>
        <w:rPr>
          <w:rFonts w:ascii="Arial" w:hAnsi="Arial" w:cs="Arial"/>
        </w:rPr>
      </w:pPr>
    </w:p>
    <w:p w14:paraId="23316309" w14:textId="77777777" w:rsidR="00D85166" w:rsidRPr="00D85166" w:rsidRDefault="00D85166" w:rsidP="00D85166">
      <w:pPr>
        <w:widowControl w:val="0"/>
        <w:numPr>
          <w:ilvl w:val="1"/>
          <w:numId w:val="71"/>
        </w:numPr>
        <w:tabs>
          <w:tab w:val="left" w:pos="720"/>
        </w:tabs>
        <w:autoSpaceDE w:val="0"/>
        <w:autoSpaceDN w:val="0"/>
        <w:spacing w:line="398" w:lineRule="auto"/>
        <w:ind w:left="720" w:right="243"/>
        <w:contextualSpacing/>
        <w:jc w:val="both"/>
        <w:rPr>
          <w:rFonts w:ascii="Arial" w:hAnsi="Arial" w:cs="Arial"/>
          <w:b/>
        </w:rPr>
      </w:pPr>
      <w:r w:rsidRPr="00D85166">
        <w:rPr>
          <w:rFonts w:ascii="Arial" w:hAnsi="Arial" w:cs="Arial"/>
          <w:b/>
        </w:rPr>
        <w:t>Performance Reporting</w:t>
      </w:r>
    </w:p>
    <w:p w14:paraId="5F42DD09" w14:textId="77777777" w:rsidR="00D85166" w:rsidRDefault="00D85166" w:rsidP="00D85166">
      <w:pPr>
        <w:widowControl w:val="0"/>
        <w:tabs>
          <w:tab w:val="left" w:pos="720"/>
        </w:tabs>
        <w:autoSpaceDE w:val="0"/>
        <w:autoSpaceDN w:val="0"/>
        <w:spacing w:line="398" w:lineRule="auto"/>
        <w:ind w:left="720" w:right="243"/>
        <w:contextualSpacing/>
        <w:jc w:val="both"/>
        <w:rPr>
          <w:rFonts w:ascii="Arial" w:hAnsi="Arial" w:cs="Arial"/>
        </w:rPr>
      </w:pPr>
      <w:r w:rsidRPr="00D85166">
        <w:rPr>
          <w:rFonts w:ascii="Arial" w:hAnsi="Arial" w:cs="Arial"/>
          <w:b/>
        </w:rPr>
        <w:t>Report Title</w:t>
      </w:r>
      <w:r w:rsidRPr="00D85166">
        <w:rPr>
          <w:rFonts w:ascii="Arial" w:hAnsi="Arial" w:cs="Arial"/>
        </w:rPr>
        <w:t xml:space="preserve">: </w:t>
      </w:r>
      <w:r w:rsidRPr="00D85166">
        <w:rPr>
          <w:rFonts w:ascii="Arial" w:hAnsi="Arial" w:cs="Arial"/>
          <w:i/>
        </w:rPr>
        <w:t>HUD 50075.1</w:t>
      </w:r>
      <w:r w:rsidRPr="00D85166">
        <w:rPr>
          <w:rFonts w:ascii="Arial" w:hAnsi="Arial" w:cs="Arial"/>
        </w:rPr>
        <w:t xml:space="preserve">, Annual Statement Performance and Evaluation Report </w:t>
      </w:r>
    </w:p>
    <w:p w14:paraId="29A61BB1" w14:textId="77777777" w:rsidR="00D85166" w:rsidRDefault="00D85166" w:rsidP="00D85166">
      <w:pPr>
        <w:widowControl w:val="0"/>
        <w:tabs>
          <w:tab w:val="left" w:pos="720"/>
        </w:tabs>
        <w:autoSpaceDE w:val="0"/>
        <w:autoSpaceDN w:val="0"/>
        <w:spacing w:line="398" w:lineRule="auto"/>
        <w:ind w:left="720" w:right="243"/>
        <w:contextualSpacing/>
        <w:jc w:val="both"/>
        <w:rPr>
          <w:rFonts w:ascii="Arial" w:hAnsi="Arial" w:cs="Arial"/>
        </w:rPr>
      </w:pPr>
      <w:r w:rsidRPr="00D85166">
        <w:rPr>
          <w:rFonts w:ascii="Arial" w:hAnsi="Arial" w:cs="Arial"/>
        </w:rPr>
        <w:t>OMB PRA Number: (OMB No. 2577-0157)</w:t>
      </w:r>
    </w:p>
    <w:p w14:paraId="45540F41" w14:textId="58F642C9" w:rsidR="00D85166" w:rsidRDefault="00D85166" w:rsidP="00D85166">
      <w:pPr>
        <w:widowControl w:val="0"/>
        <w:tabs>
          <w:tab w:val="left" w:pos="720"/>
        </w:tabs>
        <w:autoSpaceDE w:val="0"/>
        <w:autoSpaceDN w:val="0"/>
        <w:spacing w:line="398" w:lineRule="auto"/>
        <w:ind w:left="720" w:right="243"/>
        <w:contextualSpacing/>
        <w:jc w:val="both"/>
        <w:rPr>
          <w:rFonts w:ascii="Arial" w:hAnsi="Arial" w:cs="Arial"/>
        </w:rPr>
      </w:pPr>
      <w:r w:rsidRPr="00D85166">
        <w:rPr>
          <w:rFonts w:ascii="Arial" w:hAnsi="Arial" w:cs="Arial"/>
        </w:rPr>
        <w:t>Report Authority: 24 CFR 905.324 Data Reporting Requirements</w:t>
      </w:r>
    </w:p>
    <w:p w14:paraId="00EE4887" w14:textId="40917605" w:rsidR="00D85166" w:rsidRDefault="00D85166" w:rsidP="00D85166">
      <w:pPr>
        <w:widowControl w:val="0"/>
        <w:tabs>
          <w:tab w:val="left" w:pos="720"/>
        </w:tabs>
        <w:autoSpaceDE w:val="0"/>
        <w:autoSpaceDN w:val="0"/>
        <w:ind w:left="720"/>
        <w:jc w:val="both"/>
        <w:rPr>
          <w:rFonts w:ascii="Arial" w:hAnsi="Arial" w:cs="Arial"/>
        </w:rPr>
      </w:pPr>
      <w:r w:rsidRPr="00D85166">
        <w:rPr>
          <w:rFonts w:ascii="Arial" w:hAnsi="Arial" w:cs="Arial"/>
        </w:rPr>
        <w:t>Reporting period/submission date/s: Initial estimated report submitted prior to grant being awarded. Final Report submitted within 90 days of the expenditure end date.</w:t>
      </w:r>
    </w:p>
    <w:p w14:paraId="74BCD24F" w14:textId="77777777" w:rsidR="00D85166" w:rsidRPr="00D85166" w:rsidRDefault="00D85166" w:rsidP="00D85166">
      <w:pPr>
        <w:widowControl w:val="0"/>
        <w:tabs>
          <w:tab w:val="left" w:pos="720"/>
        </w:tabs>
        <w:autoSpaceDE w:val="0"/>
        <w:autoSpaceDN w:val="0"/>
        <w:ind w:left="720"/>
        <w:jc w:val="both"/>
        <w:rPr>
          <w:rFonts w:ascii="Arial" w:hAnsi="Arial" w:cs="Arial"/>
        </w:rPr>
      </w:pPr>
    </w:p>
    <w:p w14:paraId="50611159" w14:textId="77777777" w:rsidR="00D85166" w:rsidRPr="00D85166" w:rsidRDefault="00D85166" w:rsidP="00D85166">
      <w:pPr>
        <w:widowControl w:val="0"/>
        <w:tabs>
          <w:tab w:val="left" w:pos="720"/>
        </w:tabs>
        <w:autoSpaceDE w:val="0"/>
        <w:autoSpaceDN w:val="0"/>
        <w:spacing w:after="120" w:line="259" w:lineRule="auto"/>
        <w:ind w:left="720" w:right="1981"/>
        <w:jc w:val="both"/>
        <w:rPr>
          <w:rFonts w:ascii="Arial" w:hAnsi="Arial" w:cs="Arial"/>
        </w:rPr>
      </w:pPr>
      <w:r w:rsidRPr="00D85166">
        <w:rPr>
          <w:rFonts w:ascii="Arial" w:hAnsi="Arial" w:cs="Arial"/>
        </w:rPr>
        <w:t xml:space="preserve">Link to report and report instructions: </w:t>
      </w:r>
    </w:p>
    <w:p w14:paraId="4CEFED4F" w14:textId="4804CBE6" w:rsidR="00D85166" w:rsidRDefault="00D85166" w:rsidP="00D85166">
      <w:pPr>
        <w:widowControl w:val="0"/>
        <w:tabs>
          <w:tab w:val="left" w:pos="720"/>
        </w:tabs>
        <w:autoSpaceDE w:val="0"/>
        <w:autoSpaceDN w:val="0"/>
        <w:spacing w:line="259" w:lineRule="auto"/>
        <w:ind w:left="720" w:right="1981"/>
        <w:jc w:val="both"/>
        <w:rPr>
          <w:rFonts w:ascii="Arial" w:hAnsi="Arial" w:cs="Arial"/>
        </w:rPr>
      </w:pPr>
      <w:hyperlink r:id="rId77" w:history="1">
        <w:r w:rsidRPr="00D85166">
          <w:rPr>
            <w:rStyle w:val="Hyperlink"/>
            <w:rFonts w:cs="Arial"/>
          </w:rPr>
          <w:t>https://www.hud.gov/sites/dfiles/OCHCO/documents/50075.1.pdf</w:t>
        </w:r>
      </w:hyperlink>
    </w:p>
    <w:p w14:paraId="0A262BFF" w14:textId="77777777" w:rsidR="00D85166" w:rsidRPr="00D85166" w:rsidRDefault="00D85166" w:rsidP="00D85166">
      <w:pPr>
        <w:widowControl w:val="0"/>
        <w:tabs>
          <w:tab w:val="left" w:pos="720"/>
        </w:tabs>
        <w:autoSpaceDE w:val="0"/>
        <w:autoSpaceDN w:val="0"/>
        <w:spacing w:line="259" w:lineRule="auto"/>
        <w:ind w:left="720" w:right="1981"/>
        <w:jc w:val="both"/>
        <w:rPr>
          <w:rFonts w:ascii="Arial" w:hAnsi="Arial" w:cs="Arial"/>
        </w:rPr>
      </w:pPr>
    </w:p>
    <w:p w14:paraId="2B6FC26C" w14:textId="77777777" w:rsidR="00D85166" w:rsidRPr="00D85166" w:rsidRDefault="00D85166" w:rsidP="00D85166">
      <w:pPr>
        <w:widowControl w:val="0"/>
        <w:tabs>
          <w:tab w:val="left" w:pos="720"/>
        </w:tabs>
        <w:autoSpaceDE w:val="0"/>
        <w:autoSpaceDN w:val="0"/>
        <w:spacing w:before="90" w:after="120"/>
        <w:ind w:left="720"/>
        <w:jc w:val="both"/>
        <w:rPr>
          <w:rFonts w:ascii="Arial" w:hAnsi="Arial" w:cs="Arial"/>
        </w:rPr>
      </w:pPr>
      <w:r w:rsidRPr="00D85166">
        <w:rPr>
          <w:rFonts w:ascii="Arial" w:hAnsi="Arial" w:cs="Arial"/>
        </w:rPr>
        <w:t>Key Line Items - The following line items contain critical information:</w:t>
      </w:r>
    </w:p>
    <w:p w14:paraId="79827116" w14:textId="77777777" w:rsidR="00D85166" w:rsidRPr="00D85166" w:rsidRDefault="00D85166" w:rsidP="00D85166">
      <w:pPr>
        <w:widowControl w:val="0"/>
        <w:tabs>
          <w:tab w:val="left" w:pos="720"/>
        </w:tabs>
        <w:autoSpaceDE w:val="0"/>
        <w:autoSpaceDN w:val="0"/>
        <w:spacing w:before="181" w:after="120" w:line="259" w:lineRule="auto"/>
        <w:ind w:left="720" w:right="214"/>
        <w:jc w:val="both"/>
        <w:rPr>
          <w:rFonts w:ascii="Arial" w:hAnsi="Arial" w:cs="Arial"/>
        </w:rPr>
      </w:pPr>
      <w:r w:rsidRPr="00D85166">
        <w:rPr>
          <w:rFonts w:ascii="Arial" w:hAnsi="Arial" w:cs="Arial"/>
          <w:b/>
        </w:rPr>
        <w:t xml:space="preserve">Line 20 Amount of Annual Grant. </w:t>
      </w:r>
      <w:r w:rsidRPr="00D85166">
        <w:rPr>
          <w:rFonts w:ascii="Arial" w:hAnsi="Arial" w:cs="Arial"/>
        </w:rPr>
        <w:t>After initial approval by HUD, the sum of lines 2 through 19 in the Revised Total Estimated Cost column may not exceed the annual grant amount.</w:t>
      </w:r>
    </w:p>
    <w:p w14:paraId="1C39609D" w14:textId="77777777" w:rsidR="00D85166" w:rsidRPr="00D85166" w:rsidRDefault="00D85166" w:rsidP="00FA684C">
      <w:pPr>
        <w:widowControl w:val="0"/>
        <w:numPr>
          <w:ilvl w:val="1"/>
          <w:numId w:val="71"/>
        </w:numPr>
        <w:tabs>
          <w:tab w:val="left" w:pos="720"/>
        </w:tabs>
        <w:autoSpaceDE w:val="0"/>
        <w:autoSpaceDN w:val="0"/>
        <w:spacing w:before="181" w:after="240"/>
        <w:ind w:left="720"/>
        <w:jc w:val="both"/>
        <w:rPr>
          <w:rFonts w:ascii="Arial" w:hAnsi="Arial" w:cs="Arial"/>
        </w:rPr>
      </w:pPr>
      <w:r w:rsidRPr="00D85166">
        <w:rPr>
          <w:rFonts w:ascii="Arial" w:hAnsi="Arial" w:cs="Arial"/>
          <w:b/>
          <w:bCs/>
        </w:rPr>
        <w:t>Special Reporting</w:t>
      </w:r>
      <w:r w:rsidRPr="00D85166">
        <w:rPr>
          <w:rFonts w:ascii="Arial" w:hAnsi="Arial" w:cs="Arial"/>
        </w:rPr>
        <w:t xml:space="preserve"> - Not Applicable</w:t>
      </w:r>
    </w:p>
    <w:p w14:paraId="603C382E" w14:textId="77777777" w:rsidR="00D85166" w:rsidRDefault="00D85166" w:rsidP="00D85166">
      <w:pPr>
        <w:widowControl w:val="0"/>
        <w:numPr>
          <w:ilvl w:val="1"/>
          <w:numId w:val="71"/>
        </w:numPr>
        <w:tabs>
          <w:tab w:val="left" w:pos="720"/>
        </w:tabs>
        <w:autoSpaceDE w:val="0"/>
        <w:autoSpaceDN w:val="0"/>
        <w:ind w:left="720"/>
        <w:contextualSpacing/>
        <w:jc w:val="both"/>
        <w:rPr>
          <w:rFonts w:ascii="Arial" w:hAnsi="Arial" w:cs="Arial"/>
        </w:rPr>
      </w:pPr>
      <w:r w:rsidRPr="00D85166">
        <w:rPr>
          <w:rFonts w:ascii="Arial" w:hAnsi="Arial" w:cs="Arial"/>
          <w:b/>
          <w:bCs/>
        </w:rPr>
        <w:t>Special Reporting for Federal Funding Accountability and Transparency Act</w:t>
      </w:r>
      <w:r w:rsidRPr="00D85166">
        <w:rPr>
          <w:rFonts w:ascii="Arial" w:hAnsi="Arial" w:cs="Arial"/>
        </w:rPr>
        <w:t xml:space="preserve"> - Not Applicable</w:t>
      </w:r>
    </w:p>
    <w:p w14:paraId="3463DBB2" w14:textId="77777777" w:rsidR="00D85166" w:rsidRDefault="00D85166" w:rsidP="00D85166">
      <w:pPr>
        <w:widowControl w:val="0"/>
        <w:tabs>
          <w:tab w:val="left" w:pos="720"/>
        </w:tabs>
        <w:autoSpaceDE w:val="0"/>
        <w:autoSpaceDN w:val="0"/>
        <w:contextualSpacing/>
        <w:jc w:val="both"/>
        <w:rPr>
          <w:rFonts w:ascii="Arial" w:hAnsi="Arial" w:cs="Arial"/>
          <w:b/>
          <w:bCs/>
        </w:rPr>
      </w:pPr>
    </w:p>
    <w:p w14:paraId="7197D9F4" w14:textId="7D5B4720" w:rsidR="00D85166" w:rsidRPr="00A1405D" w:rsidRDefault="00D85166" w:rsidP="00D85166">
      <w:pPr>
        <w:spacing w:after="240"/>
        <w:jc w:val="both"/>
        <w:rPr>
          <w:rFonts w:ascii="Arial" w:hAnsi="Arial" w:cs="Arial"/>
          <w:bCs/>
          <w:i/>
          <w:iCs/>
        </w:rPr>
      </w:pPr>
      <w:r>
        <w:rPr>
          <w:rFonts w:ascii="Arial" w:hAnsi="Arial" w:cs="Arial"/>
          <w:bCs/>
          <w:i/>
          <w:iCs/>
        </w:rPr>
        <w:t>(Source: 2025 OMB Compliance Supplement, Part 4, HUD, #14.872 Public Housing Capital Fund)</w:t>
      </w:r>
    </w:p>
    <w:p w14:paraId="5979A865" w14:textId="77777777" w:rsidR="00703F98" w:rsidRPr="000706D1" w:rsidRDefault="00703F98" w:rsidP="006672EA">
      <w:pPr>
        <w:pStyle w:val="Heading3"/>
        <w:jc w:val="both"/>
        <w:rPr>
          <w:rFonts w:cs="Arial"/>
          <w:sz w:val="24"/>
          <w:szCs w:val="24"/>
        </w:rPr>
      </w:pPr>
      <w:bookmarkStart w:id="69" w:name="_Toc212535254"/>
      <w:r w:rsidRPr="000706D1">
        <w:rPr>
          <w:rFonts w:cs="Arial"/>
          <w:sz w:val="24"/>
          <w:szCs w:val="24"/>
        </w:rPr>
        <w:t>Additional Program Specific Information</w:t>
      </w:r>
      <w:bookmarkEnd w:id="69"/>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0" w:name="_Toc212535255"/>
      <w:r w:rsidRPr="000706D1">
        <w:rPr>
          <w:rFonts w:cs="Arial"/>
          <w:sz w:val="24"/>
          <w:szCs w:val="24"/>
        </w:rPr>
        <w:t>Audit Objectives</w:t>
      </w:r>
      <w:r w:rsidR="00F87F25" w:rsidRPr="000706D1">
        <w:rPr>
          <w:rFonts w:cs="Arial"/>
          <w:sz w:val="24"/>
          <w:szCs w:val="24"/>
        </w:rPr>
        <w:t xml:space="preserve"> and Control Testing</w:t>
      </w:r>
      <w:bookmarkEnd w:id="70"/>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1" w:name="_Toc21253525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1ED1F6E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FA684C">
              <w:rPr>
                <w:rFonts w:ascii="Arial" w:hAnsi="Arial" w:cs="Arial"/>
                <w:i/>
                <w:iCs/>
                <w:color w:val="002060"/>
                <w:sz w:val="20"/>
              </w:rPr>
              <w:t xml:space="preserve"> – 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2" w:name="_Toc212535257"/>
      <w:r w:rsidRPr="000706D1">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A18907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9"/>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3" w:name="M___SUBRECIPIENT_MONITORING__"/>
      <w:bookmarkStart w:id="74" w:name="_Toc442267704"/>
      <w:bookmarkStart w:id="75" w:name="_Toc212535258"/>
      <w:bookmarkEnd w:id="73"/>
      <w:r w:rsidRPr="000706D1">
        <w:rPr>
          <w:rStyle w:val="PageNumber"/>
          <w:rFonts w:cs="Arial"/>
          <w:sz w:val="24"/>
        </w:rPr>
        <w:lastRenderedPageBreak/>
        <w:t>Program Testing Conclusion</w:t>
      </w:r>
      <w:bookmarkEnd w:id="74"/>
      <w:bookmarkEnd w:id="75"/>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788FAD78" w:rsidR="00FA3EC3" w:rsidRPr="00F00D94" w:rsidRDefault="00FA3EC3" w:rsidP="006672EA">
      <w:pPr>
        <w:spacing w:after="240"/>
        <w:jc w:val="both"/>
        <w:rPr>
          <w:rFonts w:ascii="Arial" w:hAnsi="Arial" w:cs="Arial"/>
        </w:rPr>
      </w:pPr>
      <w:hyperlink r:id="rId8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AFBAC55"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8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6" w:name="AICPAIGS:767.2670-1"/>
      <w:bookmarkEnd w:id="76"/>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E84967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8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D9830FB" w:rsidR="000C7D0B" w:rsidRDefault="009D190B">
    <w:pPr>
      <w:pBdr>
        <w:top w:val="single" w:sz="4" w:space="1" w:color="auto"/>
      </w:pBdr>
      <w:tabs>
        <w:tab w:val="center" w:pos="4680"/>
      </w:tabs>
      <w:spacing w:line="240" w:lineRule="exact"/>
      <w:rPr>
        <w:sz w:val="18"/>
      </w:rPr>
    </w:pPr>
    <w:r>
      <w:rPr>
        <w:sz w:val="18"/>
      </w:rPr>
      <w:t xml:space="preserve">2025 </w:t>
    </w:r>
    <w:r w:rsidR="0008797B">
      <w:rPr>
        <w:sz w:val="18"/>
      </w:rPr>
      <w:t>FACCR, Public Housing Capital Fund, AL #14.872</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633FB"/>
    <w:multiLevelType w:val="hybridMultilevel"/>
    <w:tmpl w:val="68AA99B8"/>
    <w:lvl w:ilvl="0" w:tplc="F8DA7D84">
      <w:start w:val="1"/>
      <w:numFmt w:val="upperLetter"/>
      <w:lvlText w:val="%1."/>
      <w:lvlJc w:val="left"/>
      <w:pPr>
        <w:ind w:left="1399" w:hanging="720"/>
      </w:pPr>
      <w:rPr>
        <w:rFonts w:ascii="Times New Roman" w:eastAsia="Times New Roman" w:hAnsi="Times New Roman" w:cs="Times New Roman" w:hint="default"/>
        <w:b/>
        <w:bCs/>
        <w:spacing w:val="-4"/>
        <w:w w:val="100"/>
        <w:sz w:val="24"/>
        <w:szCs w:val="24"/>
      </w:rPr>
    </w:lvl>
    <w:lvl w:ilvl="1" w:tplc="3B7C8774">
      <w:start w:val="1"/>
      <w:numFmt w:val="decimal"/>
      <w:lvlText w:val="%2."/>
      <w:lvlJc w:val="left"/>
      <w:pPr>
        <w:ind w:left="2119" w:hanging="720"/>
      </w:pPr>
      <w:rPr>
        <w:rFonts w:hint="default"/>
        <w:b/>
        <w:bCs/>
        <w:spacing w:val="-1"/>
        <w:w w:val="100"/>
      </w:rPr>
    </w:lvl>
    <w:lvl w:ilvl="2" w:tplc="4FC824B4">
      <w:start w:val="1"/>
      <w:numFmt w:val="lowerLetter"/>
      <w:lvlText w:val="%3."/>
      <w:lvlJc w:val="left"/>
      <w:pPr>
        <w:ind w:left="2839" w:hanging="720"/>
      </w:pPr>
      <w:rPr>
        <w:rFonts w:ascii="Arial" w:eastAsia="Times New Roman" w:hAnsi="Arial" w:cs="Arial" w:hint="default"/>
        <w:spacing w:val="-8"/>
        <w:w w:val="100"/>
        <w:sz w:val="20"/>
        <w:szCs w:val="20"/>
      </w:rPr>
    </w:lvl>
    <w:lvl w:ilvl="3" w:tplc="9F6A3F72">
      <w:start w:val="1"/>
      <w:numFmt w:val="decimal"/>
      <w:lvlText w:val="(%4)"/>
      <w:lvlJc w:val="left"/>
      <w:pPr>
        <w:ind w:left="3559" w:hanging="720"/>
      </w:pPr>
      <w:rPr>
        <w:rFonts w:ascii="Arial" w:eastAsia="Times New Roman" w:hAnsi="Arial" w:cs="Arial" w:hint="default"/>
        <w:spacing w:val="-9"/>
        <w:w w:val="100"/>
        <w:sz w:val="20"/>
        <w:szCs w:val="20"/>
      </w:rPr>
    </w:lvl>
    <w:lvl w:ilvl="4" w:tplc="E7D6C316">
      <w:numFmt w:val="bullet"/>
      <w:lvlText w:val="•"/>
      <w:lvlJc w:val="left"/>
      <w:pPr>
        <w:ind w:left="4548" w:hanging="720"/>
      </w:pPr>
      <w:rPr>
        <w:rFonts w:hint="default"/>
      </w:rPr>
    </w:lvl>
    <w:lvl w:ilvl="5" w:tplc="DF06A944">
      <w:numFmt w:val="bullet"/>
      <w:lvlText w:val="•"/>
      <w:lvlJc w:val="left"/>
      <w:pPr>
        <w:ind w:left="5537" w:hanging="720"/>
      </w:pPr>
      <w:rPr>
        <w:rFonts w:hint="default"/>
      </w:rPr>
    </w:lvl>
    <w:lvl w:ilvl="6" w:tplc="407E97D2">
      <w:numFmt w:val="bullet"/>
      <w:lvlText w:val="•"/>
      <w:lvlJc w:val="left"/>
      <w:pPr>
        <w:ind w:left="6525" w:hanging="720"/>
      </w:pPr>
      <w:rPr>
        <w:rFonts w:hint="default"/>
      </w:rPr>
    </w:lvl>
    <w:lvl w:ilvl="7" w:tplc="E6142D52">
      <w:numFmt w:val="bullet"/>
      <w:lvlText w:val="•"/>
      <w:lvlJc w:val="left"/>
      <w:pPr>
        <w:ind w:left="7514" w:hanging="720"/>
      </w:pPr>
      <w:rPr>
        <w:rFonts w:hint="default"/>
      </w:rPr>
    </w:lvl>
    <w:lvl w:ilvl="8" w:tplc="EDAC67D0">
      <w:numFmt w:val="bullet"/>
      <w:lvlText w:val="•"/>
      <w:lvlJc w:val="left"/>
      <w:pPr>
        <w:ind w:left="8502" w:hanging="720"/>
      </w:pPr>
      <w:rPr>
        <w:rFonts w:hint="default"/>
      </w:r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9"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B15362"/>
    <w:multiLevelType w:val="hybridMultilevel"/>
    <w:tmpl w:val="560CA2EA"/>
    <w:lvl w:ilvl="0" w:tplc="4D4E42D6">
      <w:start w:val="1"/>
      <w:numFmt w:val="upperRoman"/>
      <w:lvlText w:val="%1."/>
      <w:lvlJc w:val="left"/>
      <w:pPr>
        <w:ind w:left="1399" w:hanging="720"/>
      </w:pPr>
      <w:rPr>
        <w:rFonts w:ascii="Times New Roman" w:eastAsia="Times New Roman" w:hAnsi="Times New Roman" w:cs="Times New Roman" w:hint="default"/>
        <w:b/>
        <w:bCs/>
        <w:spacing w:val="-1"/>
        <w:w w:val="100"/>
        <w:sz w:val="24"/>
        <w:szCs w:val="24"/>
      </w:rPr>
    </w:lvl>
    <w:lvl w:ilvl="1" w:tplc="57E69650">
      <w:start w:val="1"/>
      <w:numFmt w:val="decimal"/>
      <w:lvlText w:val="%2."/>
      <w:lvlJc w:val="left"/>
      <w:pPr>
        <w:ind w:left="2119" w:hanging="720"/>
      </w:pPr>
      <w:rPr>
        <w:rFonts w:ascii="Arial" w:hAnsi="Arial" w:cs="Arial" w:hint="default"/>
        <w:spacing w:val="-4"/>
        <w:w w:val="100"/>
        <w:sz w:val="20"/>
        <w:szCs w:val="20"/>
      </w:rPr>
    </w:lvl>
    <w:lvl w:ilvl="2" w:tplc="4F525C9C">
      <w:numFmt w:val="bullet"/>
      <w:lvlText w:val="•"/>
      <w:lvlJc w:val="left"/>
      <w:pPr>
        <w:ind w:left="3048" w:hanging="720"/>
      </w:pPr>
      <w:rPr>
        <w:rFonts w:hint="default"/>
      </w:rPr>
    </w:lvl>
    <w:lvl w:ilvl="3" w:tplc="553AF3BE">
      <w:numFmt w:val="bullet"/>
      <w:lvlText w:val="•"/>
      <w:lvlJc w:val="left"/>
      <w:pPr>
        <w:ind w:left="3977" w:hanging="720"/>
      </w:pPr>
      <w:rPr>
        <w:rFonts w:hint="default"/>
      </w:rPr>
    </w:lvl>
    <w:lvl w:ilvl="4" w:tplc="5456E97C">
      <w:numFmt w:val="bullet"/>
      <w:lvlText w:val="•"/>
      <w:lvlJc w:val="left"/>
      <w:pPr>
        <w:ind w:left="4906" w:hanging="720"/>
      </w:pPr>
      <w:rPr>
        <w:rFonts w:hint="default"/>
      </w:rPr>
    </w:lvl>
    <w:lvl w:ilvl="5" w:tplc="ECA299C6">
      <w:numFmt w:val="bullet"/>
      <w:lvlText w:val="•"/>
      <w:lvlJc w:val="left"/>
      <w:pPr>
        <w:ind w:left="5835" w:hanging="720"/>
      </w:pPr>
      <w:rPr>
        <w:rFonts w:hint="default"/>
      </w:rPr>
    </w:lvl>
    <w:lvl w:ilvl="6" w:tplc="C7A8FDDE">
      <w:numFmt w:val="bullet"/>
      <w:lvlText w:val="•"/>
      <w:lvlJc w:val="left"/>
      <w:pPr>
        <w:ind w:left="6764" w:hanging="720"/>
      </w:pPr>
      <w:rPr>
        <w:rFonts w:hint="default"/>
      </w:rPr>
    </w:lvl>
    <w:lvl w:ilvl="7" w:tplc="DA766838">
      <w:numFmt w:val="bullet"/>
      <w:lvlText w:val="•"/>
      <w:lvlJc w:val="left"/>
      <w:pPr>
        <w:ind w:left="7693" w:hanging="720"/>
      </w:pPr>
      <w:rPr>
        <w:rFonts w:hint="default"/>
      </w:rPr>
    </w:lvl>
    <w:lvl w:ilvl="8" w:tplc="B1F697F0">
      <w:numFmt w:val="bullet"/>
      <w:lvlText w:val="•"/>
      <w:lvlJc w:val="left"/>
      <w:pPr>
        <w:ind w:left="8622" w:hanging="720"/>
      </w:pPr>
      <w:rPr>
        <w:rFonts w:hint="default"/>
      </w:rPr>
    </w:lvl>
  </w:abstractNum>
  <w:abstractNum w:abstractNumId="5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1E4EB6"/>
    <w:multiLevelType w:val="hybridMultilevel"/>
    <w:tmpl w:val="9AA2A994"/>
    <w:lvl w:ilvl="0" w:tplc="3C84036E">
      <w:start w:val="12"/>
      <w:numFmt w:val="upperLetter"/>
      <w:lvlText w:val="%1."/>
      <w:lvlJc w:val="left"/>
      <w:pPr>
        <w:ind w:left="1399" w:hanging="720"/>
      </w:pPr>
      <w:rPr>
        <w:rFonts w:ascii="Times New Roman" w:eastAsia="Times New Roman" w:hAnsi="Times New Roman" w:cs="Times New Roman" w:hint="default"/>
        <w:b/>
        <w:bCs/>
        <w:spacing w:val="-2"/>
        <w:w w:val="100"/>
        <w:sz w:val="24"/>
        <w:szCs w:val="24"/>
      </w:rPr>
    </w:lvl>
    <w:lvl w:ilvl="1" w:tplc="46745C28">
      <w:start w:val="1"/>
      <w:numFmt w:val="decimal"/>
      <w:lvlText w:val="%2."/>
      <w:lvlJc w:val="left"/>
      <w:pPr>
        <w:ind w:left="2119" w:hanging="720"/>
      </w:pPr>
      <w:rPr>
        <w:rFonts w:ascii="Arial" w:eastAsia="Times New Roman" w:hAnsi="Arial" w:cs="Arial" w:hint="default"/>
        <w:b/>
        <w:bCs/>
        <w:spacing w:val="-2"/>
        <w:w w:val="100"/>
        <w:sz w:val="20"/>
        <w:szCs w:val="20"/>
      </w:rPr>
    </w:lvl>
    <w:lvl w:ilvl="2" w:tplc="1FECF654">
      <w:start w:val="1"/>
      <w:numFmt w:val="lowerLetter"/>
      <w:lvlText w:val="%3."/>
      <w:lvlJc w:val="left"/>
      <w:pPr>
        <w:ind w:left="2839" w:hanging="720"/>
      </w:pPr>
      <w:rPr>
        <w:rFonts w:ascii="Arial" w:eastAsia="Times New Roman" w:hAnsi="Arial" w:cs="Arial" w:hint="default"/>
        <w:spacing w:val="-2"/>
        <w:w w:val="100"/>
        <w:sz w:val="20"/>
        <w:szCs w:val="20"/>
      </w:rPr>
    </w:lvl>
    <w:lvl w:ilvl="3" w:tplc="20F6FC0A">
      <w:start w:val="1"/>
      <w:numFmt w:val="decimal"/>
      <w:lvlText w:val="%4."/>
      <w:lvlJc w:val="left"/>
      <w:pPr>
        <w:ind w:left="3559" w:hanging="720"/>
      </w:pPr>
      <w:rPr>
        <w:rFonts w:ascii="Arial" w:eastAsia="Times New Roman" w:hAnsi="Arial" w:cs="Arial" w:hint="default"/>
        <w:spacing w:val="-2"/>
        <w:w w:val="100"/>
        <w:sz w:val="20"/>
        <w:szCs w:val="20"/>
      </w:rPr>
    </w:lvl>
    <w:lvl w:ilvl="4" w:tplc="9DA412CC">
      <w:numFmt w:val="bullet"/>
      <w:lvlText w:val="•"/>
      <w:lvlJc w:val="left"/>
      <w:pPr>
        <w:ind w:left="4548" w:hanging="720"/>
      </w:pPr>
      <w:rPr>
        <w:rFonts w:hint="default"/>
      </w:rPr>
    </w:lvl>
    <w:lvl w:ilvl="5" w:tplc="60CABE8A">
      <w:numFmt w:val="bullet"/>
      <w:lvlText w:val="•"/>
      <w:lvlJc w:val="left"/>
      <w:pPr>
        <w:ind w:left="5537" w:hanging="720"/>
      </w:pPr>
      <w:rPr>
        <w:rFonts w:hint="default"/>
      </w:rPr>
    </w:lvl>
    <w:lvl w:ilvl="6" w:tplc="6150BFE8">
      <w:numFmt w:val="bullet"/>
      <w:lvlText w:val="•"/>
      <w:lvlJc w:val="left"/>
      <w:pPr>
        <w:ind w:left="6525" w:hanging="720"/>
      </w:pPr>
      <w:rPr>
        <w:rFonts w:hint="default"/>
      </w:rPr>
    </w:lvl>
    <w:lvl w:ilvl="7" w:tplc="9C8C1342">
      <w:numFmt w:val="bullet"/>
      <w:lvlText w:val="•"/>
      <w:lvlJc w:val="left"/>
      <w:pPr>
        <w:ind w:left="7514" w:hanging="720"/>
      </w:pPr>
      <w:rPr>
        <w:rFonts w:hint="default"/>
      </w:rPr>
    </w:lvl>
    <w:lvl w:ilvl="8" w:tplc="085030D8">
      <w:numFmt w:val="bullet"/>
      <w:lvlText w:val="•"/>
      <w:lvlJc w:val="left"/>
      <w:pPr>
        <w:ind w:left="8502" w:hanging="720"/>
      </w:pPr>
      <w:rPr>
        <w:rFonts w:hint="default"/>
      </w:rPr>
    </w:lvl>
  </w:abstractNum>
  <w:abstractNum w:abstractNumId="5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2"/>
  </w:num>
  <w:num w:numId="4" w16cid:durableId="495266702">
    <w:abstractNumId w:val="32"/>
  </w:num>
  <w:num w:numId="5" w16cid:durableId="1496074526">
    <w:abstractNumId w:val="60"/>
  </w:num>
  <w:num w:numId="6" w16cid:durableId="1894850701">
    <w:abstractNumId w:val="30"/>
  </w:num>
  <w:num w:numId="7" w16cid:durableId="1851287688">
    <w:abstractNumId w:val="69"/>
  </w:num>
  <w:num w:numId="8" w16cid:durableId="169563015">
    <w:abstractNumId w:val="56"/>
  </w:num>
  <w:num w:numId="9" w16cid:durableId="829565744">
    <w:abstractNumId w:val="19"/>
  </w:num>
  <w:num w:numId="10" w16cid:durableId="1649020827">
    <w:abstractNumId w:val="4"/>
  </w:num>
  <w:num w:numId="11" w16cid:durableId="404687173">
    <w:abstractNumId w:val="16"/>
  </w:num>
  <w:num w:numId="12" w16cid:durableId="812450053">
    <w:abstractNumId w:val="66"/>
  </w:num>
  <w:num w:numId="13" w16cid:durableId="208225967">
    <w:abstractNumId w:val="47"/>
  </w:num>
  <w:num w:numId="14" w16cid:durableId="1448885931">
    <w:abstractNumId w:val="41"/>
  </w:num>
  <w:num w:numId="15" w16cid:durableId="652417121">
    <w:abstractNumId w:val="51"/>
  </w:num>
  <w:num w:numId="16" w16cid:durableId="1348169212">
    <w:abstractNumId w:val="38"/>
  </w:num>
  <w:num w:numId="17" w16cid:durableId="1730111816">
    <w:abstractNumId w:val="62"/>
  </w:num>
  <w:num w:numId="18" w16cid:durableId="1262647388">
    <w:abstractNumId w:val="29"/>
  </w:num>
  <w:num w:numId="19" w16cid:durableId="917205237">
    <w:abstractNumId w:val="45"/>
  </w:num>
  <w:num w:numId="20" w16cid:durableId="1467968856">
    <w:abstractNumId w:val="67"/>
  </w:num>
  <w:num w:numId="21" w16cid:durableId="1337074581">
    <w:abstractNumId w:val="65"/>
  </w:num>
  <w:num w:numId="22" w16cid:durableId="1386678689">
    <w:abstractNumId w:val="10"/>
  </w:num>
  <w:num w:numId="23" w16cid:durableId="505556187">
    <w:abstractNumId w:val="57"/>
  </w:num>
  <w:num w:numId="24" w16cid:durableId="1151486989">
    <w:abstractNumId w:val="20"/>
  </w:num>
  <w:num w:numId="25" w16cid:durableId="431709311">
    <w:abstractNumId w:val="33"/>
  </w:num>
  <w:num w:numId="26" w16cid:durableId="137292458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8"/>
  </w:num>
  <w:num w:numId="29" w16cid:durableId="1726903200">
    <w:abstractNumId w:val="14"/>
  </w:num>
  <w:num w:numId="30" w16cid:durableId="884410781">
    <w:abstractNumId w:val="7"/>
  </w:num>
  <w:num w:numId="31" w16cid:durableId="810370577">
    <w:abstractNumId w:val="42"/>
  </w:num>
  <w:num w:numId="32" w16cid:durableId="1178009640">
    <w:abstractNumId w:val="3"/>
  </w:num>
  <w:num w:numId="33" w16cid:durableId="1151754974">
    <w:abstractNumId w:val="70"/>
  </w:num>
  <w:num w:numId="34" w16cid:durableId="554588920">
    <w:abstractNumId w:val="61"/>
  </w:num>
  <w:num w:numId="35" w16cid:durableId="2056466201">
    <w:abstractNumId w:val="21"/>
  </w:num>
  <w:num w:numId="36" w16cid:durableId="81878645">
    <w:abstractNumId w:val="34"/>
  </w:num>
  <w:num w:numId="37" w16cid:durableId="754401759">
    <w:abstractNumId w:val="36"/>
  </w:num>
  <w:num w:numId="38" w16cid:durableId="697851989">
    <w:abstractNumId w:val="63"/>
  </w:num>
  <w:num w:numId="39" w16cid:durableId="368649401">
    <w:abstractNumId w:val="1"/>
  </w:num>
  <w:num w:numId="40" w16cid:durableId="1478910963">
    <w:abstractNumId w:val="64"/>
  </w:num>
  <w:num w:numId="41" w16cid:durableId="1939830332">
    <w:abstractNumId w:val="15"/>
  </w:num>
  <w:num w:numId="42" w16cid:durableId="516505364">
    <w:abstractNumId w:val="49"/>
  </w:num>
  <w:num w:numId="43" w16cid:durableId="710107432">
    <w:abstractNumId w:val="39"/>
  </w:num>
  <w:num w:numId="44" w16cid:durableId="629016447">
    <w:abstractNumId w:val="18"/>
  </w:num>
  <w:num w:numId="45" w16cid:durableId="1352143524">
    <w:abstractNumId w:val="25"/>
  </w:num>
  <w:num w:numId="46" w16cid:durableId="2034109230">
    <w:abstractNumId w:val="40"/>
  </w:num>
  <w:num w:numId="47" w16cid:durableId="752432378">
    <w:abstractNumId w:val="35"/>
  </w:num>
  <w:num w:numId="48" w16cid:durableId="1766726706">
    <w:abstractNumId w:val="13"/>
  </w:num>
  <w:num w:numId="49" w16cid:durableId="848107073">
    <w:abstractNumId w:val="26"/>
  </w:num>
  <w:num w:numId="50" w16cid:durableId="1123234674">
    <w:abstractNumId w:val="5"/>
  </w:num>
  <w:num w:numId="51" w16cid:durableId="1056511850">
    <w:abstractNumId w:val="58"/>
  </w:num>
  <w:num w:numId="52" w16cid:durableId="1317146710">
    <w:abstractNumId w:val="52"/>
  </w:num>
  <w:num w:numId="53" w16cid:durableId="1101756761">
    <w:abstractNumId w:val="43"/>
  </w:num>
  <w:num w:numId="54" w16cid:durableId="1244534831">
    <w:abstractNumId w:val="50"/>
  </w:num>
  <w:num w:numId="55" w16cid:durableId="120655483">
    <w:abstractNumId w:val="24"/>
  </w:num>
  <w:num w:numId="56" w16cid:durableId="894855469">
    <w:abstractNumId w:val="17"/>
  </w:num>
  <w:num w:numId="57" w16cid:durableId="667756309">
    <w:abstractNumId w:val="6"/>
  </w:num>
  <w:num w:numId="58" w16cid:durableId="142236087">
    <w:abstractNumId w:val="31"/>
  </w:num>
  <w:num w:numId="59" w16cid:durableId="2005356031">
    <w:abstractNumId w:val="9"/>
  </w:num>
  <w:num w:numId="60" w16cid:durableId="196281328">
    <w:abstractNumId w:val="54"/>
  </w:num>
  <w:num w:numId="61" w16cid:durableId="2066832860">
    <w:abstractNumId w:val="2"/>
  </w:num>
  <w:num w:numId="62" w16cid:durableId="870455721">
    <w:abstractNumId w:val="23"/>
  </w:num>
  <w:num w:numId="63" w16cid:durableId="633680411">
    <w:abstractNumId w:val="59"/>
  </w:num>
  <w:num w:numId="64" w16cid:durableId="1902322810">
    <w:abstractNumId w:val="12"/>
  </w:num>
  <w:num w:numId="65" w16cid:durableId="1314218672">
    <w:abstractNumId w:val="37"/>
  </w:num>
  <w:num w:numId="66" w16cid:durableId="1163159298">
    <w:abstractNumId w:val="28"/>
  </w:num>
  <w:num w:numId="67" w16cid:durableId="827406263">
    <w:abstractNumId w:val="11"/>
  </w:num>
  <w:num w:numId="68" w16cid:durableId="1732803313">
    <w:abstractNumId w:val="27"/>
  </w:num>
  <w:num w:numId="69" w16cid:durableId="1497187852">
    <w:abstractNumId w:val="53"/>
  </w:num>
  <w:num w:numId="70" w16cid:durableId="478421801">
    <w:abstractNumId w:val="46"/>
  </w:num>
  <w:num w:numId="71" w16cid:durableId="869882752">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6E1F"/>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97B"/>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0132"/>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6E8C"/>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27204"/>
    <w:rsid w:val="0033076E"/>
    <w:rsid w:val="00331E80"/>
    <w:rsid w:val="00332AC8"/>
    <w:rsid w:val="00334235"/>
    <w:rsid w:val="003358D2"/>
    <w:rsid w:val="00336177"/>
    <w:rsid w:val="003361D6"/>
    <w:rsid w:val="003371A6"/>
    <w:rsid w:val="0033775E"/>
    <w:rsid w:val="0033785D"/>
    <w:rsid w:val="00337ADD"/>
    <w:rsid w:val="00337FCB"/>
    <w:rsid w:val="003408B5"/>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84F"/>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35A"/>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05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3CFA"/>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391"/>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286E"/>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3B8C"/>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66"/>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231D"/>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6E5C"/>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95C"/>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684C"/>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www.house.gov/"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s://www.hud.gov/program_offices/public_indian_housing/reac/products/prodpha" TargetMode="External"/><Relationship Id="rId42" Type="http://schemas.openxmlformats.org/officeDocument/2006/relationships/hyperlink" Target="https://www.hud.gov/program_offices/public_indian_housing/programs/ph/capfund" TargetMode="External"/><Relationship Id="rId47"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50" Type="http://schemas.openxmlformats.org/officeDocument/2006/relationships/hyperlink" Target="https://www.hud.gov/sites/documents/PIH-2016-14.pdf" TargetMode="External"/><Relationship Id="rId55" Type="http://schemas.openxmlformats.org/officeDocument/2006/relationships/header" Target="header8.xml"/><Relationship Id="rId63" Type="http://schemas.openxmlformats.org/officeDocument/2006/relationships/hyperlink" Target="https://www.ecfr.gov/current/title-24/subtitle-B/chapter-IX/part-905" TargetMode="External"/><Relationship Id="rId68" Type="http://schemas.openxmlformats.org/officeDocument/2006/relationships/hyperlink" Target="https://www.ecfr.gov/current/title-2/section-200.305" TargetMode="External"/><Relationship Id="rId76" Type="http://schemas.openxmlformats.org/officeDocument/2006/relationships/hyperlink" Target="https://grants.gov/" TargetMode="External"/><Relationship Id="rId84"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48_CFR_Part_52.pdf"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hud.gov/program_offices/public_indian_housing/programs/ph/capfund"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program_offices/public_indian_housing/programs/ph/capfund" TargetMode="External"/><Relationship Id="rId37" Type="http://schemas.openxmlformats.org/officeDocument/2006/relationships/header" Target="header6.xml"/><Relationship Id="rId40" Type="http://schemas.openxmlformats.org/officeDocument/2006/relationships/hyperlink" Target="https://www.ecfr.gov/current/title-24/subtitle-B/chapter-IX/part-905" TargetMode="External"/><Relationship Id="rId45" Type="http://schemas.openxmlformats.org/officeDocument/2006/relationships/hyperlink" Target="Agency_Adoption_of_the_UG_and_Example_Citations.pdf" TargetMode="External"/><Relationship Id="rId53" Type="http://schemas.openxmlformats.org/officeDocument/2006/relationships/hyperlink" Target="Testing_the_ICRP_discussion.pdf" TargetMode="External"/><Relationship Id="rId58" Type="http://schemas.openxmlformats.org/officeDocument/2006/relationships/hyperlink" Target="48_CFR_Part_52.pdf" TargetMode="External"/><Relationship Id="rId66" Type="http://schemas.openxmlformats.org/officeDocument/2006/relationships/hyperlink" Target="https://www.ecfr.gov/current/title-24/section-905.310" TargetMode="External"/><Relationship Id="rId74" Type="http://schemas.openxmlformats.org/officeDocument/2006/relationships/hyperlink" Target="Agency_Adoption_of_the_UG_and_Example_Citations.pdf" TargetMode="External"/><Relationship Id="rId79" Type="http://schemas.openxmlformats.org/officeDocument/2006/relationships/header" Target="header11.xml"/><Relationship Id="rId5" Type="http://schemas.openxmlformats.org/officeDocument/2006/relationships/numbering" Target="numbering.xml"/><Relationship Id="rId61" Type="http://schemas.openxmlformats.org/officeDocument/2006/relationships/hyperlink" Target="https://www.fiscal.treasury.gov/ASAP/" TargetMode="External"/><Relationship Id="rId82" Type="http://schemas.openxmlformats.org/officeDocument/2006/relationships/header" Target="header12.xml"/><Relationship Id="rId19" Type="http://schemas.openxmlformats.org/officeDocument/2006/relationships/hyperlink" Target="OMB_Appendix_I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hud.gov/program_offices/public_indian_housing/programs/ph/capfund" TargetMode="External"/><Relationship Id="rId35" Type="http://schemas.openxmlformats.org/officeDocument/2006/relationships/hyperlink" Target="https://www.hud.gov/program_offices/public_indian_housing/reac/products/prodphasintrule" TargetMode="External"/><Relationship Id="rId43" Type="http://schemas.openxmlformats.org/officeDocument/2006/relationships/hyperlink" Target="https://www.hud.gov/program_offices/public_indian_housing/programs/ph/capfund" TargetMode="External"/><Relationship Id="rId48" Type="http://schemas.openxmlformats.org/officeDocument/2006/relationships/hyperlink" Target="https://ohioauditor.gov/references/practiceaids/faccrs.html" TargetMode="External"/><Relationship Id="rId56" Type="http://schemas.openxmlformats.org/officeDocument/2006/relationships/hyperlink" Target="31_CFR_Part_205.pdf" TargetMode="External"/><Relationship Id="rId64" Type="http://schemas.openxmlformats.org/officeDocument/2006/relationships/hyperlink" Target="https://www.ecfr.gov/current/title-24/subtitle-B/chapter-IX/part-990" TargetMode="External"/><Relationship Id="rId69" Type="http://schemas.openxmlformats.org/officeDocument/2006/relationships/hyperlink" Target="https://www.ecfr.gov/current/title-24/section-905.310" TargetMode="External"/><Relationship Id="rId77" Type="http://schemas.openxmlformats.org/officeDocument/2006/relationships/hyperlink" Target="https://www.hud.gov/sites/dfiles/OCHCO/documents/50075.1.pdf" TargetMode="External"/><Relationship Id="rId8" Type="http://schemas.openxmlformats.org/officeDocument/2006/relationships/webSettings" Target="webSettings.xml"/><Relationship Id="rId51" Type="http://schemas.openxmlformats.org/officeDocument/2006/relationships/hyperlink" Target="https://www.opm.gov/policy-data-oversight/pay-leave/salaries-wages/salary-tables/pdf/2023/EX.pdf" TargetMode="External"/><Relationship Id="rId72" Type="http://schemas.openxmlformats.org/officeDocument/2006/relationships/hyperlink" Target="Agency_Adoption_of_the_UG_and_Example_Citations.pdf" TargetMode="External"/><Relationship Id="rId80" Type="http://schemas.openxmlformats.org/officeDocument/2006/relationships/hyperlink" Target="OMB_Appendix_I.pdf"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hud.gov/program_offices/public_indian_housing/reac" TargetMode="External"/><Relationship Id="rId38" Type="http://schemas.openxmlformats.org/officeDocument/2006/relationships/hyperlink" Target="http://www.ohioauditor.gov/references/practiceaids.html" TargetMode="External"/><Relationship Id="rId46" Type="http://schemas.openxmlformats.org/officeDocument/2006/relationships/header" Target="header7.xml"/><Relationship Id="rId59" Type="http://schemas.openxmlformats.org/officeDocument/2006/relationships/hyperlink" Target="https://fiscal.treasury.gov/cmia/" TargetMode="External"/><Relationship Id="rId67" Type="http://schemas.openxmlformats.org/officeDocument/2006/relationships/hyperlink" Target="https://www.ecfr.gov/current/title-2/section-200.305"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ecfr.gov/current/title-24/subtitle-B/chapter-IX/part-905"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https://www.ecfr.gov/current/title-24/subtitle-A/part-5/subpart-D/section-5.403" TargetMode="External"/><Relationship Id="rId70" Type="http://schemas.openxmlformats.org/officeDocument/2006/relationships/hyperlink" Target="https://www.ecfr.gov/current/title-2/section-200.305" TargetMode="External"/><Relationship Id="rId75" Type="http://schemas.openxmlformats.org/officeDocument/2006/relationships/header" Target="header10.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5.xml"/><Relationship Id="rId49" Type="http://schemas.openxmlformats.org/officeDocument/2006/relationships/hyperlink" Target="Selected_Items_of_Cost_Part_3.2_ComplianceSupplement.pdf" TargetMode="External"/><Relationship Id="rId57" Type="http://schemas.openxmlformats.org/officeDocument/2006/relationships/hyperlink" Target="48_CFR_Part_52.pdf" TargetMode="External"/><Relationship Id="rId10" Type="http://schemas.openxmlformats.org/officeDocument/2006/relationships/endnotes" Target="endnotes.xml"/><Relationship Id="rId31" Type="http://schemas.openxmlformats.org/officeDocument/2006/relationships/hyperlink" Target="https://www.hud.gov/sites/dfiles/PIH/documents/Faircloth%20List_10-15-23_FINAL2.xlsx" TargetMode="External"/><Relationship Id="rId44" Type="http://schemas.openxmlformats.org/officeDocument/2006/relationships/hyperlink" Target="https://www.hud.gov/sites/dfiles/PIH/documents/2023_Units_TDC_Limits.pdf" TargetMode="External"/><Relationship Id="rId52" Type="http://schemas.openxmlformats.org/officeDocument/2006/relationships/hyperlink" Target="https://www.opm.gov/policy-data-oversight/pay-leave/salaries-wages/salary-tables/pdf/2023/EX.pdf" TargetMode="External"/><Relationship Id="rId60" Type="http://schemas.openxmlformats.org/officeDocument/2006/relationships/hyperlink" Target="https://www.hhs.gov/about/agencies/asa/psc/accounting/payment-management/index.html" TargetMode="External"/><Relationship Id="rId65" Type="http://schemas.openxmlformats.org/officeDocument/2006/relationships/hyperlink" Target="https://www.ecfr.gov/current/title-2/section-200.305" TargetMode="External"/><Relationship Id="rId73" Type="http://schemas.openxmlformats.org/officeDocument/2006/relationships/header" Target="header9.xml"/><Relationship Id="rId78" Type="http://schemas.openxmlformats.org/officeDocument/2006/relationships/hyperlink" Target="Agency_Adoption_of_the_UG_and_Example_Citations.pdf" TargetMode="External"/><Relationship Id="rId81"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11492B"/>
    <w:rsid w:val="002E1B1A"/>
    <w:rsid w:val="003408B5"/>
    <w:rsid w:val="00435AE4"/>
    <w:rsid w:val="00444C5F"/>
    <w:rsid w:val="00560B1D"/>
    <w:rsid w:val="0057650C"/>
    <w:rsid w:val="00755AD6"/>
    <w:rsid w:val="00776DDE"/>
    <w:rsid w:val="00974272"/>
    <w:rsid w:val="009D3CFA"/>
    <w:rsid w:val="00A97B5A"/>
    <w:rsid w:val="00AC1185"/>
    <w:rsid w:val="00BB24E2"/>
    <w:rsid w:val="00C632B1"/>
    <w:rsid w:val="00DC231D"/>
    <w:rsid w:val="00E476A2"/>
    <w:rsid w:val="00ED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50</Pages>
  <Words>18996</Words>
  <Characters>108278</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127020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13</cp:revision>
  <cp:lastPrinted>2015-07-01T17:39:00Z</cp:lastPrinted>
  <dcterms:created xsi:type="dcterms:W3CDTF">2025-10-09T11:07:00Z</dcterms:created>
  <dcterms:modified xsi:type="dcterms:W3CDTF">2025-11-26T17:27:00Z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