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0F28E7" w:rsidRPr="00F00D94" w14:paraId="61355EF5" w14:textId="77777777" w:rsidTr="00F13178">
        <w:tc>
          <w:tcPr>
            <w:tcW w:w="1560" w:type="pct"/>
            <w:shd w:val="clear" w:color="auto" w:fill="DBE5F1"/>
          </w:tcPr>
          <w:p w14:paraId="04653FEF" w14:textId="77777777" w:rsidR="000F28E7" w:rsidRPr="00F00D94" w:rsidRDefault="000F28E7" w:rsidP="000F28E7">
            <w:pPr>
              <w:rPr>
                <w:rFonts w:ascii="Arial" w:hAnsi="Arial" w:cs="Arial"/>
                <w:b/>
              </w:rPr>
            </w:pPr>
            <w:r w:rsidRPr="00F00D94">
              <w:rPr>
                <w:rFonts w:ascii="Arial" w:hAnsi="Arial" w:cs="Arial"/>
                <w:b/>
              </w:rPr>
              <w:t>FEDERAL AWARD NAME:</w:t>
            </w:r>
          </w:p>
        </w:tc>
        <w:tc>
          <w:tcPr>
            <w:tcW w:w="3440" w:type="pct"/>
          </w:tcPr>
          <w:p w14:paraId="3B525937" w14:textId="6B7CE9F0" w:rsidR="000F28E7" w:rsidRPr="00F00D94" w:rsidRDefault="000F28E7" w:rsidP="000F28E7">
            <w:pPr>
              <w:jc w:val="both"/>
              <w:rPr>
                <w:rFonts w:ascii="Arial" w:hAnsi="Arial" w:cs="Arial"/>
              </w:rPr>
            </w:pPr>
            <w:r>
              <w:rPr>
                <w:rFonts w:ascii="Arial" w:hAnsi="Arial" w:cs="Arial"/>
              </w:rPr>
              <w:t>Emergency Rental Assistance Program</w:t>
            </w:r>
          </w:p>
        </w:tc>
      </w:tr>
      <w:tr w:rsidR="000F28E7" w:rsidRPr="00F00D94" w14:paraId="202C7631" w14:textId="77777777" w:rsidTr="00F13178">
        <w:tc>
          <w:tcPr>
            <w:tcW w:w="1560" w:type="pct"/>
            <w:shd w:val="clear" w:color="auto" w:fill="DBE5F1"/>
          </w:tcPr>
          <w:p w14:paraId="5788BDE3" w14:textId="5FCC2150" w:rsidR="000F28E7" w:rsidRPr="00F00D94" w:rsidRDefault="000F28E7" w:rsidP="000F28E7">
            <w:pPr>
              <w:jc w:val="both"/>
              <w:rPr>
                <w:rFonts w:ascii="Arial" w:hAnsi="Arial" w:cs="Arial"/>
                <w:b/>
              </w:rPr>
            </w:pPr>
            <w:r w:rsidRPr="00F00D94">
              <w:rPr>
                <w:rFonts w:ascii="Arial" w:hAnsi="Arial" w:cs="Arial"/>
                <w:b/>
              </w:rPr>
              <w:t>AL#:</w:t>
            </w:r>
          </w:p>
        </w:tc>
        <w:tc>
          <w:tcPr>
            <w:tcW w:w="3440" w:type="pct"/>
          </w:tcPr>
          <w:p w14:paraId="33E981FC" w14:textId="78DE347E" w:rsidR="000F28E7" w:rsidRPr="00F00D94" w:rsidRDefault="000F28E7" w:rsidP="000F28E7">
            <w:pPr>
              <w:jc w:val="both"/>
              <w:rPr>
                <w:rFonts w:ascii="Arial" w:hAnsi="Arial" w:cs="Arial"/>
              </w:rPr>
            </w:pPr>
            <w:r>
              <w:rPr>
                <w:rFonts w:ascii="Arial" w:hAnsi="Arial" w:cs="Arial"/>
              </w:rPr>
              <w:t>21.023</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437268">
      <w:pPr>
        <w:pStyle w:val="ListParagraph"/>
        <w:numPr>
          <w:ilvl w:val="0"/>
          <w:numId w:val="29"/>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437268">
      <w:pPr>
        <w:pStyle w:val="ListParagraph"/>
        <w:numPr>
          <w:ilvl w:val="0"/>
          <w:numId w:val="29"/>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437268">
      <w:pPr>
        <w:numPr>
          <w:ilvl w:val="0"/>
          <w:numId w:val="28"/>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437268">
      <w:pPr>
        <w:numPr>
          <w:ilvl w:val="0"/>
          <w:numId w:val="28"/>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437268">
      <w:pPr>
        <w:numPr>
          <w:ilvl w:val="0"/>
          <w:numId w:val="28"/>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437268">
      <w:pPr>
        <w:numPr>
          <w:ilvl w:val="1"/>
          <w:numId w:val="28"/>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437268">
      <w:pPr>
        <w:numPr>
          <w:ilvl w:val="1"/>
          <w:numId w:val="28"/>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437268">
      <w:pPr>
        <w:numPr>
          <w:ilvl w:val="1"/>
          <w:numId w:val="28"/>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437268">
      <w:pPr>
        <w:numPr>
          <w:ilvl w:val="1"/>
          <w:numId w:val="28"/>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437268">
      <w:pPr>
        <w:numPr>
          <w:ilvl w:val="1"/>
          <w:numId w:val="28"/>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437268">
      <w:pPr>
        <w:numPr>
          <w:ilvl w:val="0"/>
          <w:numId w:val="28"/>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16458400"/>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7CCCCB45"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0F28E7">
        <w:rPr>
          <w:rFonts w:ascii="Arial" w:hAnsi="Arial" w:cs="Arial"/>
          <w:b/>
          <w:color w:val="FF0000"/>
          <w:sz w:val="28"/>
          <w:szCs w:val="28"/>
          <w:u w:val="single"/>
        </w:rPr>
        <w:t>FACCR</w:t>
      </w:r>
      <w:r w:rsidR="000F28E7"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12F8E66B" w14:textId="579F1631"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1"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0D234705"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2"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4AC02FC1" w14:textId="77777777" w:rsidR="00FF0626" w:rsidRDefault="00FF0626" w:rsidP="00155515">
      <w:pPr>
        <w:spacing w:after="240"/>
        <w:jc w:val="both"/>
        <w:rPr>
          <w:rFonts w:ascii="Arial" w:hAnsi="Arial" w:cs="Arial"/>
          <w:b/>
          <w:color w:val="FF0000"/>
          <w:sz w:val="28"/>
          <w:szCs w:val="28"/>
          <w:u w:val="single"/>
        </w:rPr>
      </w:pPr>
    </w:p>
    <w:p w14:paraId="27A4A3EE" w14:textId="77777777" w:rsidR="00FF0626" w:rsidRDefault="00FF0626" w:rsidP="00155515">
      <w:pPr>
        <w:spacing w:after="240"/>
        <w:jc w:val="both"/>
        <w:rPr>
          <w:rFonts w:ascii="Arial" w:hAnsi="Arial" w:cs="Arial"/>
          <w:b/>
          <w:color w:val="FF0000"/>
          <w:sz w:val="28"/>
          <w:szCs w:val="28"/>
          <w:u w:val="single"/>
        </w:rPr>
      </w:pP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lastRenderedPageBreak/>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437268">
      <w:pPr>
        <w:pStyle w:val="ListParagraph"/>
        <w:numPr>
          <w:ilvl w:val="1"/>
          <w:numId w:val="30"/>
        </w:numPr>
        <w:suppressAutoHyphens w:val="0"/>
        <w:autoSpaceDE/>
        <w:autoSpaceDN/>
        <w:adjustRightInd/>
        <w:spacing w:after="240"/>
        <w:jc w:val="both"/>
        <w:rPr>
          <w:rFonts w:ascii="Arial" w:hAnsi="Arial" w:cs="Arial"/>
          <w:b/>
          <w:color w:val="000000" w:themeColor="text1"/>
        </w:rPr>
        <w:sectPr w:rsidR="00805DDB" w:rsidRPr="00F00D94">
          <w:footerReference w:type="default" r:id="rId13"/>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16458401"/>
      <w:bookmarkEnd w:id="2"/>
      <w:r w:rsidRPr="00F00D94">
        <w:rPr>
          <w:rFonts w:cs="Arial"/>
        </w:rPr>
        <w:lastRenderedPageBreak/>
        <w:t>AGENCY ADOPTION OF THE UG AND EXAMPLE CITATIONS</w:t>
      </w:r>
      <w:bookmarkEnd w:id="3"/>
    </w:p>
    <w:p w14:paraId="1BF1424A" w14:textId="5AA171DE"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are located in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4"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7E9A2B7C"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5"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16458402"/>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BD3538" w:rsidRDefault="00084EE0" w:rsidP="006672EA">
          <w:pPr>
            <w:pStyle w:val="TOCHeading"/>
            <w:jc w:val="both"/>
            <w:rPr>
              <w:rFonts w:ascii="Arial" w:hAnsi="Arial" w:cs="Arial"/>
              <w:sz w:val="20"/>
              <w:szCs w:val="20"/>
            </w:rPr>
          </w:pPr>
          <w:r w:rsidRPr="00BD3538">
            <w:rPr>
              <w:rFonts w:ascii="Arial" w:hAnsi="Arial" w:cs="Arial"/>
              <w:sz w:val="20"/>
              <w:szCs w:val="20"/>
            </w:rPr>
            <w:t>Table of Contents</w:t>
          </w:r>
        </w:p>
        <w:p w14:paraId="5BF2ADF3" w14:textId="7D23C3A2" w:rsidR="00BD3538" w:rsidRPr="00BD3538" w:rsidRDefault="00084EE0">
          <w:pPr>
            <w:pStyle w:val="TOC1"/>
            <w:tabs>
              <w:tab w:val="right" w:leader="dot" w:pos="9350"/>
            </w:tabs>
            <w:rPr>
              <w:rFonts w:ascii="Arial" w:eastAsiaTheme="minorEastAsia" w:hAnsi="Arial" w:cs="Arial"/>
              <w:noProof/>
              <w:sz w:val="20"/>
            </w:rPr>
          </w:pPr>
          <w:r w:rsidRPr="00BD3538">
            <w:rPr>
              <w:rFonts w:ascii="Arial" w:hAnsi="Arial" w:cs="Arial"/>
              <w:sz w:val="20"/>
            </w:rPr>
            <w:fldChar w:fldCharType="begin"/>
          </w:r>
          <w:r w:rsidRPr="00BD3538">
            <w:rPr>
              <w:rFonts w:ascii="Arial" w:hAnsi="Arial" w:cs="Arial"/>
              <w:sz w:val="20"/>
            </w:rPr>
            <w:instrText xml:space="preserve"> TOC \o "1-3" \h \z \u </w:instrText>
          </w:r>
          <w:r w:rsidRPr="00BD3538">
            <w:rPr>
              <w:rFonts w:ascii="Arial" w:hAnsi="Arial" w:cs="Arial"/>
              <w:sz w:val="20"/>
            </w:rPr>
            <w:fldChar w:fldCharType="separate"/>
          </w:r>
          <w:hyperlink w:anchor="_Toc116458400" w:history="1">
            <w:r w:rsidR="00BD3538" w:rsidRPr="00BD3538">
              <w:rPr>
                <w:rStyle w:val="Hyperlink"/>
                <w:rFonts w:ascii="Arial" w:hAnsi="Arial" w:cs="Arial"/>
                <w:noProof/>
                <w:sz w:val="20"/>
                <w:highlight w:val="yellow"/>
              </w:rPr>
              <w:t>Important Information</w:t>
            </w:r>
            <w:r w:rsidR="00BD3538" w:rsidRPr="00BD3538">
              <w:rPr>
                <w:rStyle w:val="Hyperlink"/>
                <w:rFonts w:ascii="Arial" w:hAnsi="Arial" w:cs="Arial"/>
                <w:noProof/>
                <w:sz w:val="20"/>
              </w:rPr>
              <w:t xml:space="preserve"> (please read)</w:t>
            </w:r>
            <w:r w:rsidR="00BD3538" w:rsidRPr="00BD3538">
              <w:rPr>
                <w:rFonts w:ascii="Arial" w:hAnsi="Arial" w:cs="Arial"/>
                <w:noProof/>
                <w:webHidden/>
                <w:sz w:val="20"/>
              </w:rPr>
              <w:tab/>
            </w:r>
            <w:r w:rsidR="00BD3538" w:rsidRPr="00BD3538">
              <w:rPr>
                <w:rFonts w:ascii="Arial" w:hAnsi="Arial" w:cs="Arial"/>
                <w:noProof/>
                <w:webHidden/>
                <w:sz w:val="20"/>
              </w:rPr>
              <w:fldChar w:fldCharType="begin"/>
            </w:r>
            <w:r w:rsidR="00BD3538" w:rsidRPr="00BD3538">
              <w:rPr>
                <w:rFonts w:ascii="Arial" w:hAnsi="Arial" w:cs="Arial"/>
                <w:noProof/>
                <w:webHidden/>
                <w:sz w:val="20"/>
              </w:rPr>
              <w:instrText xml:space="preserve"> PAGEREF _Toc116458400 \h </w:instrText>
            </w:r>
            <w:r w:rsidR="00BD3538" w:rsidRPr="00BD3538">
              <w:rPr>
                <w:rFonts w:ascii="Arial" w:hAnsi="Arial" w:cs="Arial"/>
                <w:noProof/>
                <w:webHidden/>
                <w:sz w:val="20"/>
              </w:rPr>
            </w:r>
            <w:r w:rsidR="00BD3538" w:rsidRPr="00BD3538">
              <w:rPr>
                <w:rFonts w:ascii="Arial" w:hAnsi="Arial" w:cs="Arial"/>
                <w:noProof/>
                <w:webHidden/>
                <w:sz w:val="20"/>
              </w:rPr>
              <w:fldChar w:fldCharType="separate"/>
            </w:r>
            <w:r w:rsidR="00BD3538" w:rsidRPr="00BD3538">
              <w:rPr>
                <w:rFonts w:ascii="Arial" w:hAnsi="Arial" w:cs="Arial"/>
                <w:noProof/>
                <w:webHidden/>
                <w:sz w:val="20"/>
              </w:rPr>
              <w:t>1</w:t>
            </w:r>
            <w:r w:rsidR="00BD3538" w:rsidRPr="00BD3538">
              <w:rPr>
                <w:rFonts w:ascii="Arial" w:hAnsi="Arial" w:cs="Arial"/>
                <w:noProof/>
                <w:webHidden/>
                <w:sz w:val="20"/>
              </w:rPr>
              <w:fldChar w:fldCharType="end"/>
            </w:r>
          </w:hyperlink>
        </w:p>
        <w:p w14:paraId="0808286F" w14:textId="07BE63E5" w:rsidR="00BD3538" w:rsidRPr="00BD3538" w:rsidRDefault="00BD3538">
          <w:pPr>
            <w:pStyle w:val="TOC1"/>
            <w:tabs>
              <w:tab w:val="right" w:leader="dot" w:pos="9350"/>
            </w:tabs>
            <w:rPr>
              <w:rFonts w:ascii="Arial" w:eastAsiaTheme="minorEastAsia" w:hAnsi="Arial" w:cs="Arial"/>
              <w:noProof/>
              <w:sz w:val="20"/>
            </w:rPr>
          </w:pPr>
          <w:hyperlink w:anchor="_Toc116458401" w:history="1">
            <w:r w:rsidRPr="00BD3538">
              <w:rPr>
                <w:rStyle w:val="Hyperlink"/>
                <w:rFonts w:ascii="Arial" w:hAnsi="Arial" w:cs="Arial"/>
                <w:noProof/>
                <w:sz w:val="20"/>
              </w:rPr>
              <w:t>AGENCY ADOPTION OF THE UG AND EXAMPLE CITATIONS</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_Toc116458401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3</w:t>
            </w:r>
            <w:r w:rsidRPr="00BD3538">
              <w:rPr>
                <w:rFonts w:ascii="Arial" w:hAnsi="Arial" w:cs="Arial"/>
                <w:noProof/>
                <w:webHidden/>
                <w:sz w:val="20"/>
              </w:rPr>
              <w:fldChar w:fldCharType="end"/>
            </w:r>
          </w:hyperlink>
        </w:p>
        <w:p w14:paraId="3C03E60B" w14:textId="2493F78B" w:rsidR="00BD3538" w:rsidRPr="00BD3538" w:rsidRDefault="00BD3538">
          <w:pPr>
            <w:pStyle w:val="TOC1"/>
            <w:tabs>
              <w:tab w:val="right" w:leader="dot" w:pos="9350"/>
            </w:tabs>
            <w:rPr>
              <w:rFonts w:ascii="Arial" w:eastAsiaTheme="minorEastAsia" w:hAnsi="Arial" w:cs="Arial"/>
              <w:noProof/>
              <w:sz w:val="20"/>
            </w:rPr>
          </w:pPr>
          <w:hyperlink w:anchor="_Toc116458402" w:history="1">
            <w:r w:rsidRPr="00BD3538">
              <w:rPr>
                <w:rStyle w:val="Hyperlink"/>
                <w:rFonts w:ascii="Arial" w:hAnsi="Arial" w:cs="Arial"/>
                <w:noProof/>
                <w:sz w:val="20"/>
              </w:rPr>
              <w:t>Table of Contents</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_Toc116458402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4</w:t>
            </w:r>
            <w:r w:rsidRPr="00BD3538">
              <w:rPr>
                <w:rFonts w:ascii="Arial" w:hAnsi="Arial" w:cs="Arial"/>
                <w:noProof/>
                <w:webHidden/>
                <w:sz w:val="20"/>
              </w:rPr>
              <w:fldChar w:fldCharType="end"/>
            </w:r>
          </w:hyperlink>
        </w:p>
        <w:p w14:paraId="7C9D04EA" w14:textId="3FE3EEE6" w:rsidR="00BD3538" w:rsidRPr="00BD3538" w:rsidRDefault="00BD3538">
          <w:pPr>
            <w:pStyle w:val="TOC1"/>
            <w:tabs>
              <w:tab w:val="right" w:leader="dot" w:pos="9350"/>
            </w:tabs>
            <w:rPr>
              <w:rFonts w:ascii="Arial" w:eastAsiaTheme="minorEastAsia" w:hAnsi="Arial" w:cs="Arial"/>
              <w:noProof/>
              <w:sz w:val="20"/>
            </w:rPr>
          </w:pPr>
          <w:hyperlink w:anchor="_Toc116458403" w:history="1">
            <w:r w:rsidRPr="00BD3538">
              <w:rPr>
                <w:rStyle w:val="Hyperlink"/>
                <w:rFonts w:ascii="Arial" w:hAnsi="Arial" w:cs="Arial"/>
                <w:noProof/>
                <w:sz w:val="20"/>
              </w:rPr>
              <w:t>Introduction: Materiality by Compliance Requirement Matrix</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_Toc116458403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6</w:t>
            </w:r>
            <w:r w:rsidRPr="00BD3538">
              <w:rPr>
                <w:rFonts w:ascii="Arial" w:hAnsi="Arial" w:cs="Arial"/>
                <w:noProof/>
                <w:webHidden/>
                <w:sz w:val="20"/>
              </w:rPr>
              <w:fldChar w:fldCharType="end"/>
            </w:r>
          </w:hyperlink>
        </w:p>
        <w:p w14:paraId="2ED28BCE" w14:textId="550E092B" w:rsidR="00BD3538" w:rsidRPr="00BD3538" w:rsidRDefault="00BD3538">
          <w:pPr>
            <w:pStyle w:val="TOC1"/>
            <w:tabs>
              <w:tab w:val="right" w:leader="dot" w:pos="9350"/>
            </w:tabs>
            <w:rPr>
              <w:rFonts w:ascii="Arial" w:eastAsiaTheme="minorEastAsia" w:hAnsi="Arial" w:cs="Arial"/>
              <w:noProof/>
              <w:sz w:val="20"/>
            </w:rPr>
          </w:pPr>
          <w:hyperlink w:anchor="_Toc116458404" w:history="1">
            <w:r w:rsidRPr="00BD3538">
              <w:rPr>
                <w:rStyle w:val="Hyperlink"/>
                <w:rFonts w:ascii="Arial" w:hAnsi="Arial" w:cs="Arial"/>
                <w:noProof/>
                <w:sz w:val="20"/>
              </w:rPr>
              <w:t>Part I – OMB Compliance Supplement Information</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_Toc116458404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11</w:t>
            </w:r>
            <w:r w:rsidRPr="00BD3538">
              <w:rPr>
                <w:rFonts w:ascii="Arial" w:hAnsi="Arial" w:cs="Arial"/>
                <w:noProof/>
                <w:webHidden/>
                <w:sz w:val="20"/>
              </w:rPr>
              <w:fldChar w:fldCharType="end"/>
            </w:r>
          </w:hyperlink>
        </w:p>
        <w:p w14:paraId="5E4A2EFB" w14:textId="558A0A4B" w:rsidR="00BD3538" w:rsidRPr="00BD3538" w:rsidRDefault="00BD3538">
          <w:pPr>
            <w:pStyle w:val="TOC3"/>
            <w:rPr>
              <w:rFonts w:ascii="Arial" w:eastAsiaTheme="minorEastAsia" w:hAnsi="Arial" w:cs="Arial"/>
              <w:b w:val="0"/>
              <w:noProof/>
              <w:sz w:val="20"/>
            </w:rPr>
          </w:pPr>
          <w:hyperlink w:anchor="_Toc116458405" w:history="1">
            <w:r w:rsidRPr="00BD3538">
              <w:rPr>
                <w:rStyle w:val="Hyperlink"/>
                <w:rFonts w:ascii="Arial" w:hAnsi="Arial" w:cs="Arial"/>
                <w:noProof/>
                <w:sz w:val="20"/>
              </w:rPr>
              <w:t>I. Program Objectives</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_Toc116458405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11</w:t>
            </w:r>
            <w:r w:rsidRPr="00BD3538">
              <w:rPr>
                <w:rFonts w:ascii="Arial" w:hAnsi="Arial" w:cs="Arial"/>
                <w:noProof/>
                <w:webHidden/>
                <w:sz w:val="20"/>
              </w:rPr>
              <w:fldChar w:fldCharType="end"/>
            </w:r>
          </w:hyperlink>
        </w:p>
        <w:p w14:paraId="5EF94885" w14:textId="3D7F5558" w:rsidR="00BD3538" w:rsidRPr="00BD3538" w:rsidRDefault="00BD3538">
          <w:pPr>
            <w:pStyle w:val="TOC3"/>
            <w:rPr>
              <w:rFonts w:ascii="Arial" w:eastAsiaTheme="minorEastAsia" w:hAnsi="Arial" w:cs="Arial"/>
              <w:b w:val="0"/>
              <w:noProof/>
              <w:sz w:val="20"/>
            </w:rPr>
          </w:pPr>
          <w:hyperlink w:anchor="_Toc116458406" w:history="1">
            <w:r w:rsidRPr="00BD3538">
              <w:rPr>
                <w:rStyle w:val="Hyperlink"/>
                <w:rFonts w:ascii="Arial" w:hAnsi="Arial" w:cs="Arial"/>
                <w:noProof/>
                <w:sz w:val="20"/>
              </w:rPr>
              <w:t>II. Program Procedures</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_Toc116458406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11</w:t>
            </w:r>
            <w:r w:rsidRPr="00BD3538">
              <w:rPr>
                <w:rFonts w:ascii="Arial" w:hAnsi="Arial" w:cs="Arial"/>
                <w:noProof/>
                <w:webHidden/>
                <w:sz w:val="20"/>
              </w:rPr>
              <w:fldChar w:fldCharType="end"/>
            </w:r>
          </w:hyperlink>
        </w:p>
        <w:p w14:paraId="1C600164" w14:textId="18874DF2" w:rsidR="00BD3538" w:rsidRPr="00BD3538" w:rsidRDefault="00BD3538">
          <w:pPr>
            <w:pStyle w:val="TOC3"/>
            <w:rPr>
              <w:rFonts w:ascii="Arial" w:eastAsiaTheme="minorEastAsia" w:hAnsi="Arial" w:cs="Arial"/>
              <w:b w:val="0"/>
              <w:noProof/>
              <w:sz w:val="20"/>
            </w:rPr>
          </w:pPr>
          <w:hyperlink w:anchor="_Toc116458407" w:history="1">
            <w:r w:rsidRPr="00BD3538">
              <w:rPr>
                <w:rStyle w:val="Hyperlink"/>
                <w:rFonts w:ascii="Arial" w:hAnsi="Arial" w:cs="Arial"/>
                <w:noProof/>
                <w:sz w:val="20"/>
              </w:rPr>
              <w:t>III. Source of Governing Requirements</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_Toc116458407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12</w:t>
            </w:r>
            <w:r w:rsidRPr="00BD3538">
              <w:rPr>
                <w:rFonts w:ascii="Arial" w:hAnsi="Arial" w:cs="Arial"/>
                <w:noProof/>
                <w:webHidden/>
                <w:sz w:val="20"/>
              </w:rPr>
              <w:fldChar w:fldCharType="end"/>
            </w:r>
          </w:hyperlink>
        </w:p>
        <w:p w14:paraId="2A222276" w14:textId="2A1FC0DE" w:rsidR="00BD3538" w:rsidRPr="00BD3538" w:rsidRDefault="00BD3538">
          <w:pPr>
            <w:pStyle w:val="TOC3"/>
            <w:rPr>
              <w:rFonts w:ascii="Arial" w:eastAsiaTheme="minorEastAsia" w:hAnsi="Arial" w:cs="Arial"/>
              <w:b w:val="0"/>
              <w:noProof/>
              <w:sz w:val="20"/>
            </w:rPr>
          </w:pPr>
          <w:hyperlink w:anchor="_Toc116458408" w:history="1">
            <w:r w:rsidRPr="00BD3538">
              <w:rPr>
                <w:rStyle w:val="Hyperlink"/>
                <w:rFonts w:ascii="Arial" w:hAnsi="Arial" w:cs="Arial"/>
                <w:noProof/>
                <w:sz w:val="20"/>
              </w:rPr>
              <w:t>IV. Other Information</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_Toc116458408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12</w:t>
            </w:r>
            <w:r w:rsidRPr="00BD3538">
              <w:rPr>
                <w:rFonts w:ascii="Arial" w:hAnsi="Arial" w:cs="Arial"/>
                <w:noProof/>
                <w:webHidden/>
                <w:sz w:val="20"/>
              </w:rPr>
              <w:fldChar w:fldCharType="end"/>
            </w:r>
          </w:hyperlink>
        </w:p>
        <w:p w14:paraId="7A90C721" w14:textId="4FEB4081" w:rsidR="00BD3538" w:rsidRPr="00BD3538" w:rsidRDefault="00BD3538">
          <w:pPr>
            <w:pStyle w:val="TOC1"/>
            <w:tabs>
              <w:tab w:val="right" w:leader="dot" w:pos="9350"/>
            </w:tabs>
            <w:rPr>
              <w:rFonts w:ascii="Arial" w:eastAsiaTheme="minorEastAsia" w:hAnsi="Arial" w:cs="Arial"/>
              <w:noProof/>
              <w:sz w:val="20"/>
            </w:rPr>
          </w:pPr>
          <w:hyperlink w:anchor="_Toc116458409" w:history="1">
            <w:r w:rsidRPr="00BD3538">
              <w:rPr>
                <w:rStyle w:val="Hyperlink"/>
                <w:rFonts w:ascii="Arial" w:hAnsi="Arial" w:cs="Arial"/>
                <w:noProof/>
                <w:sz w:val="20"/>
              </w:rPr>
              <w:t>Part II – Pass through Agency and Grant Specific Information</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_Toc116458409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14</w:t>
            </w:r>
            <w:r w:rsidRPr="00BD3538">
              <w:rPr>
                <w:rFonts w:ascii="Arial" w:hAnsi="Arial" w:cs="Arial"/>
                <w:noProof/>
                <w:webHidden/>
                <w:sz w:val="20"/>
              </w:rPr>
              <w:fldChar w:fldCharType="end"/>
            </w:r>
          </w:hyperlink>
        </w:p>
        <w:p w14:paraId="1F343B05" w14:textId="796328A9" w:rsidR="00BD3538" w:rsidRPr="00BD3538" w:rsidRDefault="00BD3538">
          <w:pPr>
            <w:pStyle w:val="TOC3"/>
            <w:rPr>
              <w:rFonts w:ascii="Arial" w:eastAsiaTheme="minorEastAsia" w:hAnsi="Arial" w:cs="Arial"/>
              <w:b w:val="0"/>
              <w:noProof/>
              <w:sz w:val="20"/>
            </w:rPr>
          </w:pPr>
          <w:hyperlink w:anchor="_Toc116458410" w:history="1">
            <w:r w:rsidRPr="00BD3538">
              <w:rPr>
                <w:rStyle w:val="Hyperlink"/>
                <w:rFonts w:ascii="Arial" w:hAnsi="Arial" w:cs="Arial"/>
                <w:noProof/>
                <w:sz w:val="20"/>
              </w:rPr>
              <w:t>Program Overview</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_Toc116458410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14</w:t>
            </w:r>
            <w:r w:rsidRPr="00BD3538">
              <w:rPr>
                <w:rFonts w:ascii="Arial" w:hAnsi="Arial" w:cs="Arial"/>
                <w:noProof/>
                <w:webHidden/>
                <w:sz w:val="20"/>
              </w:rPr>
              <w:fldChar w:fldCharType="end"/>
            </w:r>
          </w:hyperlink>
        </w:p>
        <w:p w14:paraId="31C8F660" w14:textId="03DE110E" w:rsidR="00BD3538" w:rsidRPr="00BD3538" w:rsidRDefault="00BD3538">
          <w:pPr>
            <w:pStyle w:val="TOC3"/>
            <w:rPr>
              <w:rFonts w:ascii="Arial" w:eastAsiaTheme="minorEastAsia" w:hAnsi="Arial" w:cs="Arial"/>
              <w:b w:val="0"/>
              <w:noProof/>
              <w:sz w:val="20"/>
            </w:rPr>
          </w:pPr>
          <w:hyperlink w:anchor="_Toc116458411" w:history="1">
            <w:r w:rsidRPr="00BD3538">
              <w:rPr>
                <w:rStyle w:val="Hyperlink"/>
                <w:rFonts w:ascii="Arial" w:hAnsi="Arial" w:cs="Arial"/>
                <w:noProof/>
                <w:sz w:val="20"/>
              </w:rPr>
              <w:t>Testing Considerations</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_Toc116458411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15</w:t>
            </w:r>
            <w:r w:rsidRPr="00BD3538">
              <w:rPr>
                <w:rFonts w:ascii="Arial" w:hAnsi="Arial" w:cs="Arial"/>
                <w:noProof/>
                <w:webHidden/>
                <w:sz w:val="20"/>
              </w:rPr>
              <w:fldChar w:fldCharType="end"/>
            </w:r>
          </w:hyperlink>
        </w:p>
        <w:p w14:paraId="05A08643" w14:textId="09EB324F" w:rsidR="00BD3538" w:rsidRPr="00BD3538" w:rsidRDefault="00BD3538">
          <w:pPr>
            <w:pStyle w:val="TOC3"/>
            <w:rPr>
              <w:rFonts w:ascii="Arial" w:eastAsiaTheme="minorEastAsia" w:hAnsi="Arial" w:cs="Arial"/>
              <w:b w:val="0"/>
              <w:noProof/>
              <w:sz w:val="20"/>
            </w:rPr>
          </w:pPr>
          <w:hyperlink w:anchor="_Toc116458412" w:history="1">
            <w:r w:rsidRPr="00BD3538">
              <w:rPr>
                <w:rStyle w:val="Hyperlink"/>
                <w:rFonts w:ascii="Arial" w:hAnsi="Arial" w:cs="Arial"/>
                <w:noProof/>
                <w:sz w:val="20"/>
              </w:rPr>
              <w:t>Reporting</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_Toc116458412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15</w:t>
            </w:r>
            <w:r w:rsidRPr="00BD3538">
              <w:rPr>
                <w:rFonts w:ascii="Arial" w:hAnsi="Arial" w:cs="Arial"/>
                <w:noProof/>
                <w:webHidden/>
                <w:sz w:val="20"/>
              </w:rPr>
              <w:fldChar w:fldCharType="end"/>
            </w:r>
          </w:hyperlink>
        </w:p>
        <w:p w14:paraId="7A4B7374" w14:textId="03FA5E8A" w:rsidR="00BD3538" w:rsidRPr="00BD3538" w:rsidRDefault="00BD3538">
          <w:pPr>
            <w:pStyle w:val="TOC1"/>
            <w:tabs>
              <w:tab w:val="right" w:leader="dot" w:pos="9350"/>
            </w:tabs>
            <w:rPr>
              <w:rFonts w:ascii="Arial" w:eastAsiaTheme="minorEastAsia" w:hAnsi="Arial" w:cs="Arial"/>
              <w:noProof/>
              <w:sz w:val="20"/>
            </w:rPr>
          </w:pPr>
          <w:hyperlink w:anchor="_Toc116458413" w:history="1">
            <w:r w:rsidRPr="00BD3538">
              <w:rPr>
                <w:rStyle w:val="Hyperlink"/>
                <w:rFonts w:ascii="Arial" w:hAnsi="Arial" w:cs="Arial"/>
                <w:noProof/>
                <w:sz w:val="20"/>
              </w:rPr>
              <w:t>PART III – APPLICABLE COMPLIANCE REQUIREMENTS</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_Toc116458413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16</w:t>
            </w:r>
            <w:r w:rsidRPr="00BD3538">
              <w:rPr>
                <w:rFonts w:ascii="Arial" w:hAnsi="Arial" w:cs="Arial"/>
                <w:noProof/>
                <w:webHidden/>
                <w:sz w:val="20"/>
              </w:rPr>
              <w:fldChar w:fldCharType="end"/>
            </w:r>
          </w:hyperlink>
        </w:p>
        <w:p w14:paraId="3B993568" w14:textId="7A74E239" w:rsidR="00BD3538" w:rsidRPr="00BD3538" w:rsidRDefault="00BD3538">
          <w:pPr>
            <w:pStyle w:val="TOC2"/>
            <w:rPr>
              <w:rFonts w:eastAsiaTheme="minorEastAsia"/>
              <w:bCs w:val="0"/>
              <w:sz w:val="20"/>
              <w:szCs w:val="20"/>
            </w:rPr>
          </w:pPr>
          <w:hyperlink w:anchor="_Toc116458414" w:history="1">
            <w:r w:rsidRPr="00BD3538">
              <w:rPr>
                <w:rStyle w:val="Hyperlink"/>
                <w:sz w:val="20"/>
                <w:szCs w:val="20"/>
              </w:rPr>
              <w:t>A.  ACTIVITIES ALLOWED OR UNALLOWED</w:t>
            </w:r>
            <w:r w:rsidRPr="00BD3538">
              <w:rPr>
                <w:webHidden/>
                <w:sz w:val="20"/>
                <w:szCs w:val="20"/>
              </w:rPr>
              <w:tab/>
            </w:r>
            <w:r w:rsidRPr="00BD3538">
              <w:rPr>
                <w:webHidden/>
                <w:sz w:val="20"/>
                <w:szCs w:val="20"/>
              </w:rPr>
              <w:fldChar w:fldCharType="begin"/>
            </w:r>
            <w:r w:rsidRPr="00BD3538">
              <w:rPr>
                <w:webHidden/>
                <w:sz w:val="20"/>
                <w:szCs w:val="20"/>
              </w:rPr>
              <w:instrText xml:space="preserve"> PAGEREF _Toc116458414 \h </w:instrText>
            </w:r>
            <w:r w:rsidRPr="00BD3538">
              <w:rPr>
                <w:webHidden/>
                <w:sz w:val="20"/>
                <w:szCs w:val="20"/>
              </w:rPr>
            </w:r>
            <w:r w:rsidRPr="00BD3538">
              <w:rPr>
                <w:webHidden/>
                <w:sz w:val="20"/>
                <w:szCs w:val="20"/>
              </w:rPr>
              <w:fldChar w:fldCharType="separate"/>
            </w:r>
            <w:r w:rsidRPr="00BD3538">
              <w:rPr>
                <w:webHidden/>
                <w:sz w:val="20"/>
                <w:szCs w:val="20"/>
              </w:rPr>
              <w:t>16</w:t>
            </w:r>
            <w:r w:rsidRPr="00BD3538">
              <w:rPr>
                <w:webHidden/>
                <w:sz w:val="20"/>
                <w:szCs w:val="20"/>
              </w:rPr>
              <w:fldChar w:fldCharType="end"/>
            </w:r>
          </w:hyperlink>
        </w:p>
        <w:p w14:paraId="7FA2B1D1" w14:textId="14247180" w:rsidR="00BD3538" w:rsidRPr="00BD3538" w:rsidRDefault="00BD3538">
          <w:pPr>
            <w:pStyle w:val="TOC3"/>
            <w:rPr>
              <w:rFonts w:ascii="Arial" w:eastAsiaTheme="minorEastAsia" w:hAnsi="Arial" w:cs="Arial"/>
              <w:b w:val="0"/>
              <w:noProof/>
              <w:sz w:val="20"/>
            </w:rPr>
          </w:pPr>
          <w:hyperlink w:anchor="_Toc116458415" w:history="1">
            <w:r w:rsidRPr="00BD3538">
              <w:rPr>
                <w:rStyle w:val="Hyperlink"/>
                <w:rFonts w:ascii="Arial" w:hAnsi="Arial" w:cs="Arial"/>
                <w:noProof/>
                <w:sz w:val="20"/>
              </w:rPr>
              <w:t>OMB Compliance Requirements</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_Toc116458415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16</w:t>
            </w:r>
            <w:r w:rsidRPr="00BD3538">
              <w:rPr>
                <w:rFonts w:ascii="Arial" w:hAnsi="Arial" w:cs="Arial"/>
                <w:noProof/>
                <w:webHidden/>
                <w:sz w:val="20"/>
              </w:rPr>
              <w:fldChar w:fldCharType="end"/>
            </w:r>
          </w:hyperlink>
        </w:p>
        <w:p w14:paraId="1F8C935E" w14:textId="00F4C734" w:rsidR="00BD3538" w:rsidRPr="00BD3538" w:rsidRDefault="00BD3538">
          <w:pPr>
            <w:pStyle w:val="TOC3"/>
            <w:rPr>
              <w:rFonts w:ascii="Arial" w:eastAsiaTheme="minorEastAsia" w:hAnsi="Arial" w:cs="Arial"/>
              <w:b w:val="0"/>
              <w:noProof/>
              <w:sz w:val="20"/>
            </w:rPr>
          </w:pPr>
          <w:hyperlink w:anchor="_Toc116458416" w:history="1">
            <w:r w:rsidRPr="00BD3538">
              <w:rPr>
                <w:rStyle w:val="Hyperlink"/>
                <w:rFonts w:ascii="Arial" w:hAnsi="Arial" w:cs="Arial"/>
                <w:noProof/>
                <w:sz w:val="20"/>
              </w:rPr>
              <w:t>Additional Program Specific Information</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_Toc116458416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18</w:t>
            </w:r>
            <w:r w:rsidRPr="00BD3538">
              <w:rPr>
                <w:rFonts w:ascii="Arial" w:hAnsi="Arial" w:cs="Arial"/>
                <w:noProof/>
                <w:webHidden/>
                <w:sz w:val="20"/>
              </w:rPr>
              <w:fldChar w:fldCharType="end"/>
            </w:r>
          </w:hyperlink>
        </w:p>
        <w:p w14:paraId="6EFE3B1D" w14:textId="25E4462C" w:rsidR="00BD3538" w:rsidRPr="00BD3538" w:rsidRDefault="00BD3538">
          <w:pPr>
            <w:pStyle w:val="TOC3"/>
            <w:rPr>
              <w:rFonts w:ascii="Arial" w:eastAsiaTheme="minorEastAsia" w:hAnsi="Arial" w:cs="Arial"/>
              <w:b w:val="0"/>
              <w:noProof/>
              <w:sz w:val="20"/>
            </w:rPr>
          </w:pPr>
          <w:hyperlink w:anchor="_Toc116458417" w:history="1">
            <w:r w:rsidRPr="00BD3538">
              <w:rPr>
                <w:rStyle w:val="Hyperlink"/>
                <w:rFonts w:ascii="Arial" w:hAnsi="Arial" w:cs="Arial"/>
                <w:noProof/>
                <w:sz w:val="20"/>
              </w:rPr>
              <w:t>Audit Objectives and Control Testing</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_Toc116458417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18</w:t>
            </w:r>
            <w:r w:rsidRPr="00BD3538">
              <w:rPr>
                <w:rFonts w:ascii="Arial" w:hAnsi="Arial" w:cs="Arial"/>
                <w:noProof/>
                <w:webHidden/>
                <w:sz w:val="20"/>
              </w:rPr>
              <w:fldChar w:fldCharType="end"/>
            </w:r>
          </w:hyperlink>
        </w:p>
        <w:p w14:paraId="2A2EA9B1" w14:textId="619B9000" w:rsidR="00BD3538" w:rsidRPr="00BD3538" w:rsidRDefault="00BD3538">
          <w:pPr>
            <w:pStyle w:val="TOC3"/>
            <w:rPr>
              <w:rFonts w:ascii="Arial" w:eastAsiaTheme="minorEastAsia" w:hAnsi="Arial" w:cs="Arial"/>
              <w:b w:val="0"/>
              <w:noProof/>
              <w:sz w:val="20"/>
            </w:rPr>
          </w:pPr>
          <w:hyperlink w:anchor="_Toc116458418" w:history="1">
            <w:r w:rsidRPr="00BD3538">
              <w:rPr>
                <w:rStyle w:val="Hyperlink"/>
                <w:rFonts w:ascii="Arial" w:hAnsi="Arial" w:cs="Arial"/>
                <w:noProof/>
                <w:sz w:val="20"/>
              </w:rPr>
              <w:t>Suggested Audit Procedures – Compliance</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_Toc116458418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19</w:t>
            </w:r>
            <w:r w:rsidRPr="00BD3538">
              <w:rPr>
                <w:rFonts w:ascii="Arial" w:hAnsi="Arial" w:cs="Arial"/>
                <w:noProof/>
                <w:webHidden/>
                <w:sz w:val="20"/>
              </w:rPr>
              <w:fldChar w:fldCharType="end"/>
            </w:r>
          </w:hyperlink>
        </w:p>
        <w:p w14:paraId="5B30C357" w14:textId="769AC918" w:rsidR="00BD3538" w:rsidRPr="00BD3538" w:rsidRDefault="00BD3538">
          <w:pPr>
            <w:pStyle w:val="TOC3"/>
            <w:rPr>
              <w:rFonts w:ascii="Arial" w:eastAsiaTheme="minorEastAsia" w:hAnsi="Arial" w:cs="Arial"/>
              <w:b w:val="0"/>
              <w:noProof/>
              <w:sz w:val="20"/>
            </w:rPr>
          </w:pPr>
          <w:hyperlink w:anchor="_Toc116458419" w:history="1">
            <w:r w:rsidRPr="00BD3538">
              <w:rPr>
                <w:rStyle w:val="Hyperlink"/>
                <w:rFonts w:ascii="Arial" w:hAnsi="Arial" w:cs="Arial"/>
                <w:noProof/>
                <w:sz w:val="20"/>
              </w:rPr>
              <w:t>Audit Implications Summary</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_Toc116458419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19</w:t>
            </w:r>
            <w:r w:rsidRPr="00BD3538">
              <w:rPr>
                <w:rFonts w:ascii="Arial" w:hAnsi="Arial" w:cs="Arial"/>
                <w:noProof/>
                <w:webHidden/>
                <w:sz w:val="20"/>
              </w:rPr>
              <w:fldChar w:fldCharType="end"/>
            </w:r>
          </w:hyperlink>
        </w:p>
        <w:p w14:paraId="78C2CADA" w14:textId="400BCD1B" w:rsidR="00BD3538" w:rsidRPr="00BD3538" w:rsidRDefault="00BD3538">
          <w:pPr>
            <w:pStyle w:val="TOC2"/>
            <w:rPr>
              <w:rFonts w:eastAsiaTheme="minorEastAsia"/>
              <w:bCs w:val="0"/>
              <w:sz w:val="20"/>
              <w:szCs w:val="20"/>
            </w:rPr>
          </w:pPr>
          <w:hyperlink w:anchor="_Toc116458420" w:history="1">
            <w:r w:rsidRPr="00BD3538">
              <w:rPr>
                <w:rStyle w:val="Hyperlink"/>
                <w:sz w:val="20"/>
                <w:szCs w:val="20"/>
              </w:rPr>
              <w:t>B.  ALLOWABLE COSTS/COST PRINCIPLES</w:t>
            </w:r>
            <w:r w:rsidRPr="00BD3538">
              <w:rPr>
                <w:webHidden/>
                <w:sz w:val="20"/>
                <w:szCs w:val="20"/>
              </w:rPr>
              <w:tab/>
            </w:r>
            <w:r w:rsidRPr="00BD3538">
              <w:rPr>
                <w:webHidden/>
                <w:sz w:val="20"/>
                <w:szCs w:val="20"/>
              </w:rPr>
              <w:fldChar w:fldCharType="begin"/>
            </w:r>
            <w:r w:rsidRPr="00BD3538">
              <w:rPr>
                <w:webHidden/>
                <w:sz w:val="20"/>
                <w:szCs w:val="20"/>
              </w:rPr>
              <w:instrText xml:space="preserve"> PAGEREF _Toc116458420 \h </w:instrText>
            </w:r>
            <w:r w:rsidRPr="00BD3538">
              <w:rPr>
                <w:webHidden/>
                <w:sz w:val="20"/>
                <w:szCs w:val="20"/>
              </w:rPr>
            </w:r>
            <w:r w:rsidRPr="00BD3538">
              <w:rPr>
                <w:webHidden/>
                <w:sz w:val="20"/>
                <w:szCs w:val="20"/>
              </w:rPr>
              <w:fldChar w:fldCharType="separate"/>
            </w:r>
            <w:r w:rsidRPr="00BD3538">
              <w:rPr>
                <w:webHidden/>
                <w:sz w:val="20"/>
                <w:szCs w:val="20"/>
              </w:rPr>
              <w:t>21</w:t>
            </w:r>
            <w:r w:rsidRPr="00BD3538">
              <w:rPr>
                <w:webHidden/>
                <w:sz w:val="20"/>
                <w:szCs w:val="20"/>
              </w:rPr>
              <w:fldChar w:fldCharType="end"/>
            </w:r>
          </w:hyperlink>
        </w:p>
        <w:p w14:paraId="63ECFCC3" w14:textId="7A2014EF" w:rsidR="00BD3538" w:rsidRPr="00BD3538" w:rsidRDefault="00BD3538">
          <w:pPr>
            <w:pStyle w:val="TOC3"/>
            <w:rPr>
              <w:rFonts w:ascii="Arial" w:eastAsiaTheme="minorEastAsia" w:hAnsi="Arial" w:cs="Arial"/>
              <w:b w:val="0"/>
              <w:noProof/>
              <w:sz w:val="20"/>
            </w:rPr>
          </w:pPr>
          <w:hyperlink w:anchor="_Toc116458421" w:history="1">
            <w:r w:rsidRPr="00BD3538">
              <w:rPr>
                <w:rStyle w:val="Hyperlink"/>
                <w:rFonts w:ascii="Arial" w:hAnsi="Arial" w:cs="Arial"/>
                <w:noProof/>
                <w:sz w:val="20"/>
              </w:rPr>
              <w:t>Applicability of Cost Principles</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_Toc116458421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21</w:t>
            </w:r>
            <w:r w:rsidRPr="00BD3538">
              <w:rPr>
                <w:rFonts w:ascii="Arial" w:hAnsi="Arial" w:cs="Arial"/>
                <w:noProof/>
                <w:webHidden/>
                <w:sz w:val="20"/>
              </w:rPr>
              <w:fldChar w:fldCharType="end"/>
            </w:r>
          </w:hyperlink>
        </w:p>
        <w:p w14:paraId="15A9B084" w14:textId="2A78FB06" w:rsidR="00BD3538" w:rsidRPr="00BD3538" w:rsidRDefault="00BD3538">
          <w:pPr>
            <w:pStyle w:val="TOC3"/>
            <w:rPr>
              <w:rFonts w:ascii="Arial" w:eastAsiaTheme="minorEastAsia" w:hAnsi="Arial" w:cs="Arial"/>
              <w:b w:val="0"/>
              <w:noProof/>
              <w:sz w:val="20"/>
            </w:rPr>
          </w:pPr>
          <w:hyperlink w:anchor="_Toc116458422" w:history="1">
            <w:r w:rsidRPr="00BD3538">
              <w:rPr>
                <w:rStyle w:val="Hyperlink"/>
                <w:rFonts w:ascii="Arial" w:hAnsi="Arial" w:cs="Arial"/>
                <w:noProof/>
                <w:sz w:val="20"/>
              </w:rPr>
              <w:t>Additional Program Specific Information</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_Toc116458422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24</w:t>
            </w:r>
            <w:r w:rsidRPr="00BD3538">
              <w:rPr>
                <w:rFonts w:ascii="Arial" w:hAnsi="Arial" w:cs="Arial"/>
                <w:noProof/>
                <w:webHidden/>
                <w:sz w:val="20"/>
              </w:rPr>
              <w:fldChar w:fldCharType="end"/>
            </w:r>
          </w:hyperlink>
        </w:p>
        <w:p w14:paraId="29E56C1B" w14:textId="65DEFE4A" w:rsidR="00BD3538" w:rsidRPr="00BD3538" w:rsidRDefault="00BD3538">
          <w:pPr>
            <w:pStyle w:val="TOC3"/>
            <w:rPr>
              <w:rFonts w:ascii="Arial" w:eastAsiaTheme="minorEastAsia" w:hAnsi="Arial" w:cs="Arial"/>
              <w:b w:val="0"/>
              <w:noProof/>
              <w:sz w:val="20"/>
            </w:rPr>
          </w:pPr>
          <w:hyperlink w:anchor="_Toc116458423" w:history="1">
            <w:r w:rsidRPr="00BD3538">
              <w:rPr>
                <w:rStyle w:val="Hyperlink"/>
                <w:rFonts w:ascii="Arial" w:hAnsi="Arial" w:cs="Arial"/>
                <w:noProof/>
                <w:sz w:val="20"/>
              </w:rPr>
              <w:t>Indirect Cost Rate</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_Toc116458423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24</w:t>
            </w:r>
            <w:r w:rsidRPr="00BD3538">
              <w:rPr>
                <w:rFonts w:ascii="Arial" w:hAnsi="Arial" w:cs="Arial"/>
                <w:noProof/>
                <w:webHidden/>
                <w:sz w:val="20"/>
              </w:rPr>
              <w:fldChar w:fldCharType="end"/>
            </w:r>
          </w:hyperlink>
        </w:p>
        <w:p w14:paraId="61710B78" w14:textId="7788530B" w:rsidR="00BD3538" w:rsidRPr="00BD3538" w:rsidRDefault="00BD3538">
          <w:pPr>
            <w:pStyle w:val="TOC3"/>
            <w:rPr>
              <w:rFonts w:ascii="Arial" w:eastAsiaTheme="minorEastAsia" w:hAnsi="Arial" w:cs="Arial"/>
              <w:b w:val="0"/>
              <w:noProof/>
              <w:sz w:val="20"/>
            </w:rPr>
          </w:pPr>
          <w:hyperlink w:anchor="_Toc116458424" w:history="1">
            <w:r w:rsidRPr="00BD3538">
              <w:rPr>
                <w:rStyle w:val="Hyperlink"/>
                <w:rFonts w:ascii="Arial" w:hAnsi="Arial" w:cs="Arial"/>
                <w:noProof/>
                <w:sz w:val="20"/>
              </w:rPr>
              <w:t>Cost Principles for States, Local Governments and Indian Tribes</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_Toc116458424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26</w:t>
            </w:r>
            <w:r w:rsidRPr="00BD3538">
              <w:rPr>
                <w:rFonts w:ascii="Arial" w:hAnsi="Arial" w:cs="Arial"/>
                <w:noProof/>
                <w:webHidden/>
                <w:sz w:val="20"/>
              </w:rPr>
              <w:fldChar w:fldCharType="end"/>
            </w:r>
          </w:hyperlink>
        </w:p>
        <w:p w14:paraId="48D1D542" w14:textId="4544955C" w:rsidR="00BD3538" w:rsidRPr="00BD3538" w:rsidRDefault="00BD3538">
          <w:pPr>
            <w:pStyle w:val="TOC3"/>
            <w:rPr>
              <w:rFonts w:ascii="Arial" w:eastAsiaTheme="minorEastAsia" w:hAnsi="Arial" w:cs="Arial"/>
              <w:b w:val="0"/>
              <w:noProof/>
              <w:sz w:val="20"/>
            </w:rPr>
          </w:pPr>
          <w:hyperlink w:anchor="_Toc116458425" w:history="1">
            <w:r w:rsidRPr="00BD3538">
              <w:rPr>
                <w:rStyle w:val="Hyperlink"/>
                <w:rFonts w:ascii="Arial" w:hAnsi="Arial" w:cs="Arial"/>
                <w:noProof/>
                <w:sz w:val="20"/>
              </w:rPr>
              <w:t>Allowable Costs – State/Local Government-wide Central Service Costs</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_Toc116458425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32</w:t>
            </w:r>
            <w:r w:rsidRPr="00BD3538">
              <w:rPr>
                <w:rFonts w:ascii="Arial" w:hAnsi="Arial" w:cs="Arial"/>
                <w:noProof/>
                <w:webHidden/>
                <w:sz w:val="20"/>
              </w:rPr>
              <w:fldChar w:fldCharType="end"/>
            </w:r>
          </w:hyperlink>
        </w:p>
        <w:p w14:paraId="34EF1693" w14:textId="161DCF92" w:rsidR="00BD3538" w:rsidRPr="00BD3538" w:rsidRDefault="00BD3538">
          <w:pPr>
            <w:pStyle w:val="TOC3"/>
            <w:rPr>
              <w:rFonts w:ascii="Arial" w:eastAsiaTheme="minorEastAsia" w:hAnsi="Arial" w:cs="Arial"/>
              <w:b w:val="0"/>
              <w:noProof/>
              <w:sz w:val="20"/>
            </w:rPr>
          </w:pPr>
          <w:hyperlink w:anchor="_Toc116458426" w:history="1">
            <w:r w:rsidRPr="00BD3538">
              <w:rPr>
                <w:rStyle w:val="Hyperlink"/>
                <w:rFonts w:ascii="Arial" w:hAnsi="Arial" w:cs="Arial"/>
                <w:noProof/>
                <w:sz w:val="20"/>
              </w:rPr>
              <w:t>Allowable Costs – State Public Assistance Agency Costs</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_Toc116458426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37</w:t>
            </w:r>
            <w:r w:rsidRPr="00BD3538">
              <w:rPr>
                <w:rFonts w:ascii="Arial" w:hAnsi="Arial" w:cs="Arial"/>
                <w:noProof/>
                <w:webHidden/>
                <w:sz w:val="20"/>
              </w:rPr>
              <w:fldChar w:fldCharType="end"/>
            </w:r>
          </w:hyperlink>
        </w:p>
        <w:p w14:paraId="5341D7D3" w14:textId="71CE14E0" w:rsidR="00BD3538" w:rsidRPr="00BD3538" w:rsidRDefault="00BD3538">
          <w:pPr>
            <w:pStyle w:val="TOC3"/>
            <w:rPr>
              <w:rFonts w:ascii="Arial" w:eastAsiaTheme="minorEastAsia" w:hAnsi="Arial" w:cs="Arial"/>
              <w:b w:val="0"/>
              <w:noProof/>
              <w:sz w:val="20"/>
            </w:rPr>
          </w:pPr>
          <w:hyperlink w:anchor="_Toc116458427" w:history="1">
            <w:r w:rsidRPr="00BD3538">
              <w:rPr>
                <w:rStyle w:val="Hyperlink"/>
                <w:rFonts w:ascii="Arial" w:hAnsi="Arial" w:cs="Arial"/>
                <w:noProof/>
                <w:sz w:val="20"/>
              </w:rPr>
              <w:t>Cost Principles for Nonprofit Organizations</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_Toc116458427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41</w:t>
            </w:r>
            <w:r w:rsidRPr="00BD3538">
              <w:rPr>
                <w:rFonts w:ascii="Arial" w:hAnsi="Arial" w:cs="Arial"/>
                <w:noProof/>
                <w:webHidden/>
                <w:sz w:val="20"/>
              </w:rPr>
              <w:fldChar w:fldCharType="end"/>
            </w:r>
          </w:hyperlink>
        </w:p>
        <w:p w14:paraId="20018C00" w14:textId="30FAF0F1" w:rsidR="00BD3538" w:rsidRPr="00BD3538" w:rsidRDefault="00BD3538">
          <w:pPr>
            <w:pStyle w:val="TOC3"/>
            <w:rPr>
              <w:rFonts w:ascii="Arial" w:eastAsiaTheme="minorEastAsia" w:hAnsi="Arial" w:cs="Arial"/>
              <w:b w:val="0"/>
              <w:noProof/>
              <w:sz w:val="20"/>
            </w:rPr>
          </w:pPr>
          <w:hyperlink w:anchor="_Toc116458428" w:history="1">
            <w:r w:rsidRPr="00BD3538">
              <w:rPr>
                <w:rStyle w:val="Hyperlink"/>
                <w:rFonts w:ascii="Arial" w:hAnsi="Arial" w:cs="Arial"/>
                <w:noProof/>
                <w:sz w:val="20"/>
              </w:rPr>
              <w:t>Audit Implications Summary</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_Toc116458428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41</w:t>
            </w:r>
            <w:r w:rsidRPr="00BD3538">
              <w:rPr>
                <w:rFonts w:ascii="Arial" w:hAnsi="Arial" w:cs="Arial"/>
                <w:noProof/>
                <w:webHidden/>
                <w:sz w:val="20"/>
              </w:rPr>
              <w:fldChar w:fldCharType="end"/>
            </w:r>
          </w:hyperlink>
        </w:p>
        <w:p w14:paraId="7664A760" w14:textId="359074CA" w:rsidR="00BD3538" w:rsidRPr="00BD3538" w:rsidRDefault="00BD3538">
          <w:pPr>
            <w:pStyle w:val="TOC2"/>
            <w:rPr>
              <w:rFonts w:eastAsiaTheme="minorEastAsia"/>
              <w:bCs w:val="0"/>
              <w:sz w:val="20"/>
              <w:szCs w:val="20"/>
            </w:rPr>
          </w:pPr>
          <w:hyperlink w:anchor="_Toc116458429" w:history="1">
            <w:r w:rsidRPr="00BD3538">
              <w:rPr>
                <w:rStyle w:val="Hyperlink"/>
                <w:sz w:val="20"/>
                <w:szCs w:val="20"/>
              </w:rPr>
              <w:t>E.  ELIGIBILITY</w:t>
            </w:r>
            <w:r w:rsidRPr="00BD3538">
              <w:rPr>
                <w:webHidden/>
                <w:sz w:val="20"/>
                <w:szCs w:val="20"/>
              </w:rPr>
              <w:tab/>
            </w:r>
            <w:r w:rsidRPr="00BD3538">
              <w:rPr>
                <w:webHidden/>
                <w:sz w:val="20"/>
                <w:szCs w:val="20"/>
              </w:rPr>
              <w:fldChar w:fldCharType="begin"/>
            </w:r>
            <w:r w:rsidRPr="00BD3538">
              <w:rPr>
                <w:webHidden/>
                <w:sz w:val="20"/>
                <w:szCs w:val="20"/>
              </w:rPr>
              <w:instrText xml:space="preserve"> PAGEREF _Toc116458429 \h </w:instrText>
            </w:r>
            <w:r w:rsidRPr="00BD3538">
              <w:rPr>
                <w:webHidden/>
                <w:sz w:val="20"/>
                <w:szCs w:val="20"/>
              </w:rPr>
            </w:r>
            <w:r w:rsidRPr="00BD3538">
              <w:rPr>
                <w:webHidden/>
                <w:sz w:val="20"/>
                <w:szCs w:val="20"/>
              </w:rPr>
              <w:fldChar w:fldCharType="separate"/>
            </w:r>
            <w:r w:rsidRPr="00BD3538">
              <w:rPr>
                <w:webHidden/>
                <w:sz w:val="20"/>
                <w:szCs w:val="20"/>
              </w:rPr>
              <w:t>43</w:t>
            </w:r>
            <w:r w:rsidRPr="00BD3538">
              <w:rPr>
                <w:webHidden/>
                <w:sz w:val="20"/>
                <w:szCs w:val="20"/>
              </w:rPr>
              <w:fldChar w:fldCharType="end"/>
            </w:r>
          </w:hyperlink>
        </w:p>
        <w:p w14:paraId="0E7603BE" w14:textId="1E1786D6" w:rsidR="00BD3538" w:rsidRPr="00BD3538" w:rsidRDefault="00BD3538">
          <w:pPr>
            <w:pStyle w:val="TOC3"/>
            <w:rPr>
              <w:rFonts w:ascii="Arial" w:eastAsiaTheme="minorEastAsia" w:hAnsi="Arial" w:cs="Arial"/>
              <w:b w:val="0"/>
              <w:noProof/>
              <w:sz w:val="20"/>
            </w:rPr>
          </w:pPr>
          <w:hyperlink w:anchor="_Toc116458430" w:history="1">
            <w:r w:rsidRPr="00BD3538">
              <w:rPr>
                <w:rStyle w:val="Hyperlink"/>
                <w:rFonts w:ascii="Arial" w:hAnsi="Arial" w:cs="Arial"/>
                <w:noProof/>
                <w:sz w:val="20"/>
              </w:rPr>
              <w:t>OMB Compliance Requirements</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_Toc116458430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43</w:t>
            </w:r>
            <w:r w:rsidRPr="00BD3538">
              <w:rPr>
                <w:rFonts w:ascii="Arial" w:hAnsi="Arial" w:cs="Arial"/>
                <w:noProof/>
                <w:webHidden/>
                <w:sz w:val="20"/>
              </w:rPr>
              <w:fldChar w:fldCharType="end"/>
            </w:r>
          </w:hyperlink>
        </w:p>
        <w:p w14:paraId="607A38DC" w14:textId="3C222D35" w:rsidR="00BD3538" w:rsidRPr="00BD3538" w:rsidRDefault="00BD3538">
          <w:pPr>
            <w:pStyle w:val="TOC3"/>
            <w:rPr>
              <w:rFonts w:ascii="Arial" w:eastAsiaTheme="minorEastAsia" w:hAnsi="Arial" w:cs="Arial"/>
              <w:b w:val="0"/>
              <w:noProof/>
              <w:sz w:val="20"/>
            </w:rPr>
          </w:pPr>
          <w:hyperlink w:anchor="_Toc116458431" w:history="1">
            <w:r w:rsidRPr="00BD3538">
              <w:rPr>
                <w:rStyle w:val="Hyperlink"/>
                <w:rFonts w:ascii="Arial" w:hAnsi="Arial" w:cs="Arial"/>
                <w:noProof/>
                <w:sz w:val="20"/>
              </w:rPr>
              <w:t>Additional Program Specific Information</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_Toc116458431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45</w:t>
            </w:r>
            <w:r w:rsidRPr="00BD3538">
              <w:rPr>
                <w:rFonts w:ascii="Arial" w:hAnsi="Arial" w:cs="Arial"/>
                <w:noProof/>
                <w:webHidden/>
                <w:sz w:val="20"/>
              </w:rPr>
              <w:fldChar w:fldCharType="end"/>
            </w:r>
          </w:hyperlink>
        </w:p>
        <w:p w14:paraId="4BE42989" w14:textId="79BB6911" w:rsidR="00BD3538" w:rsidRPr="00BD3538" w:rsidRDefault="00BD3538">
          <w:pPr>
            <w:pStyle w:val="TOC3"/>
            <w:rPr>
              <w:rFonts w:ascii="Arial" w:eastAsiaTheme="minorEastAsia" w:hAnsi="Arial" w:cs="Arial"/>
              <w:b w:val="0"/>
              <w:noProof/>
              <w:sz w:val="20"/>
            </w:rPr>
          </w:pPr>
          <w:hyperlink w:anchor="_Toc116458432" w:history="1">
            <w:r w:rsidRPr="00BD3538">
              <w:rPr>
                <w:rStyle w:val="Hyperlink"/>
                <w:rFonts w:ascii="Arial" w:hAnsi="Arial" w:cs="Arial"/>
                <w:noProof/>
                <w:sz w:val="20"/>
              </w:rPr>
              <w:t>Audit Objectives and Control Testing</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_Toc116458432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45</w:t>
            </w:r>
            <w:r w:rsidRPr="00BD3538">
              <w:rPr>
                <w:rFonts w:ascii="Arial" w:hAnsi="Arial" w:cs="Arial"/>
                <w:noProof/>
                <w:webHidden/>
                <w:sz w:val="20"/>
              </w:rPr>
              <w:fldChar w:fldCharType="end"/>
            </w:r>
          </w:hyperlink>
        </w:p>
        <w:p w14:paraId="0B1A4FE7" w14:textId="07136815" w:rsidR="00BD3538" w:rsidRPr="00BD3538" w:rsidRDefault="00BD3538">
          <w:pPr>
            <w:pStyle w:val="TOC3"/>
            <w:rPr>
              <w:rFonts w:ascii="Arial" w:eastAsiaTheme="minorEastAsia" w:hAnsi="Arial" w:cs="Arial"/>
              <w:b w:val="0"/>
              <w:noProof/>
              <w:sz w:val="20"/>
            </w:rPr>
          </w:pPr>
          <w:hyperlink w:anchor="_Toc116458433" w:history="1">
            <w:r w:rsidRPr="00BD3538">
              <w:rPr>
                <w:rStyle w:val="Hyperlink"/>
                <w:rFonts w:ascii="Arial" w:hAnsi="Arial" w:cs="Arial"/>
                <w:noProof/>
                <w:sz w:val="20"/>
              </w:rPr>
              <w:t>Suggested Audit Procedures – Compliance</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_Toc116458433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46</w:t>
            </w:r>
            <w:r w:rsidRPr="00BD3538">
              <w:rPr>
                <w:rFonts w:ascii="Arial" w:hAnsi="Arial" w:cs="Arial"/>
                <w:noProof/>
                <w:webHidden/>
                <w:sz w:val="20"/>
              </w:rPr>
              <w:fldChar w:fldCharType="end"/>
            </w:r>
          </w:hyperlink>
        </w:p>
        <w:p w14:paraId="0B781050" w14:textId="5C882CE1" w:rsidR="00BD3538" w:rsidRPr="00BD3538" w:rsidRDefault="00BD3538">
          <w:pPr>
            <w:pStyle w:val="TOC3"/>
            <w:rPr>
              <w:rFonts w:ascii="Arial" w:eastAsiaTheme="minorEastAsia" w:hAnsi="Arial" w:cs="Arial"/>
              <w:b w:val="0"/>
              <w:noProof/>
              <w:sz w:val="20"/>
            </w:rPr>
          </w:pPr>
          <w:hyperlink w:anchor="_Toc116458434" w:history="1">
            <w:r w:rsidRPr="00BD3538">
              <w:rPr>
                <w:rStyle w:val="Hyperlink"/>
                <w:rFonts w:ascii="Arial" w:hAnsi="Arial" w:cs="Arial"/>
                <w:noProof/>
                <w:sz w:val="20"/>
              </w:rPr>
              <w:t>Audit Implications Summary</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_Toc116458434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48</w:t>
            </w:r>
            <w:r w:rsidRPr="00BD3538">
              <w:rPr>
                <w:rFonts w:ascii="Arial" w:hAnsi="Arial" w:cs="Arial"/>
                <w:noProof/>
                <w:webHidden/>
                <w:sz w:val="20"/>
              </w:rPr>
              <w:fldChar w:fldCharType="end"/>
            </w:r>
          </w:hyperlink>
        </w:p>
        <w:p w14:paraId="181673CE" w14:textId="61A45D46" w:rsidR="00BD3538" w:rsidRPr="00BD3538" w:rsidRDefault="00BD3538">
          <w:pPr>
            <w:pStyle w:val="TOC2"/>
            <w:rPr>
              <w:rFonts w:eastAsiaTheme="minorEastAsia"/>
              <w:bCs w:val="0"/>
              <w:sz w:val="20"/>
              <w:szCs w:val="20"/>
            </w:rPr>
          </w:pPr>
          <w:hyperlink w:anchor="_Toc116458435" w:history="1">
            <w:r w:rsidRPr="00BD3538">
              <w:rPr>
                <w:rStyle w:val="Hyperlink"/>
                <w:sz w:val="20"/>
                <w:szCs w:val="20"/>
              </w:rPr>
              <w:t>H.  PERIOD OF PERFORMANCE</w:t>
            </w:r>
            <w:r w:rsidRPr="00BD3538">
              <w:rPr>
                <w:webHidden/>
                <w:sz w:val="20"/>
                <w:szCs w:val="20"/>
              </w:rPr>
              <w:tab/>
            </w:r>
            <w:r w:rsidRPr="00BD3538">
              <w:rPr>
                <w:webHidden/>
                <w:sz w:val="20"/>
                <w:szCs w:val="20"/>
              </w:rPr>
              <w:fldChar w:fldCharType="begin"/>
            </w:r>
            <w:r w:rsidRPr="00BD3538">
              <w:rPr>
                <w:webHidden/>
                <w:sz w:val="20"/>
                <w:szCs w:val="20"/>
              </w:rPr>
              <w:instrText xml:space="preserve"> PAGEREF _Toc116458435 \h </w:instrText>
            </w:r>
            <w:r w:rsidRPr="00BD3538">
              <w:rPr>
                <w:webHidden/>
                <w:sz w:val="20"/>
                <w:szCs w:val="20"/>
              </w:rPr>
            </w:r>
            <w:r w:rsidRPr="00BD3538">
              <w:rPr>
                <w:webHidden/>
                <w:sz w:val="20"/>
                <w:szCs w:val="20"/>
              </w:rPr>
              <w:fldChar w:fldCharType="separate"/>
            </w:r>
            <w:r w:rsidRPr="00BD3538">
              <w:rPr>
                <w:webHidden/>
                <w:sz w:val="20"/>
                <w:szCs w:val="20"/>
              </w:rPr>
              <w:t>50</w:t>
            </w:r>
            <w:r w:rsidRPr="00BD3538">
              <w:rPr>
                <w:webHidden/>
                <w:sz w:val="20"/>
                <w:szCs w:val="20"/>
              </w:rPr>
              <w:fldChar w:fldCharType="end"/>
            </w:r>
          </w:hyperlink>
        </w:p>
        <w:p w14:paraId="306555CB" w14:textId="1BC4F512" w:rsidR="00BD3538" w:rsidRPr="00BD3538" w:rsidRDefault="00BD3538">
          <w:pPr>
            <w:pStyle w:val="TOC3"/>
            <w:rPr>
              <w:rFonts w:ascii="Arial" w:eastAsiaTheme="minorEastAsia" w:hAnsi="Arial" w:cs="Arial"/>
              <w:b w:val="0"/>
              <w:noProof/>
              <w:sz w:val="20"/>
            </w:rPr>
          </w:pPr>
          <w:hyperlink w:anchor="_Toc116458436" w:history="1">
            <w:r w:rsidRPr="00BD3538">
              <w:rPr>
                <w:rStyle w:val="Hyperlink"/>
                <w:rFonts w:ascii="Arial" w:hAnsi="Arial" w:cs="Arial"/>
                <w:noProof/>
                <w:sz w:val="20"/>
              </w:rPr>
              <w:t>OMB Compliance Requirements</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_Toc116458436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50</w:t>
            </w:r>
            <w:r w:rsidRPr="00BD3538">
              <w:rPr>
                <w:rFonts w:ascii="Arial" w:hAnsi="Arial" w:cs="Arial"/>
                <w:noProof/>
                <w:webHidden/>
                <w:sz w:val="20"/>
              </w:rPr>
              <w:fldChar w:fldCharType="end"/>
            </w:r>
          </w:hyperlink>
        </w:p>
        <w:p w14:paraId="3A9909D0" w14:textId="2C0656AD" w:rsidR="00BD3538" w:rsidRPr="00BD3538" w:rsidRDefault="00BD3538">
          <w:pPr>
            <w:pStyle w:val="TOC3"/>
            <w:rPr>
              <w:rFonts w:ascii="Arial" w:eastAsiaTheme="minorEastAsia" w:hAnsi="Arial" w:cs="Arial"/>
              <w:b w:val="0"/>
              <w:noProof/>
              <w:sz w:val="20"/>
            </w:rPr>
          </w:pPr>
          <w:hyperlink w:anchor="_Toc116458437" w:history="1">
            <w:r w:rsidRPr="00BD3538">
              <w:rPr>
                <w:rStyle w:val="Hyperlink"/>
                <w:rFonts w:ascii="Arial" w:hAnsi="Arial" w:cs="Arial"/>
                <w:noProof/>
                <w:sz w:val="20"/>
              </w:rPr>
              <w:t>Additional Program Specific Information</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_Toc116458437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51</w:t>
            </w:r>
            <w:r w:rsidRPr="00BD3538">
              <w:rPr>
                <w:rFonts w:ascii="Arial" w:hAnsi="Arial" w:cs="Arial"/>
                <w:noProof/>
                <w:webHidden/>
                <w:sz w:val="20"/>
              </w:rPr>
              <w:fldChar w:fldCharType="end"/>
            </w:r>
          </w:hyperlink>
        </w:p>
        <w:p w14:paraId="1C1A4BD4" w14:textId="12926ACD" w:rsidR="00BD3538" w:rsidRPr="00BD3538" w:rsidRDefault="00BD3538">
          <w:pPr>
            <w:pStyle w:val="TOC3"/>
            <w:rPr>
              <w:rFonts w:ascii="Arial" w:eastAsiaTheme="minorEastAsia" w:hAnsi="Arial" w:cs="Arial"/>
              <w:b w:val="0"/>
              <w:noProof/>
              <w:sz w:val="20"/>
            </w:rPr>
          </w:pPr>
          <w:hyperlink w:anchor="_Toc116458438" w:history="1">
            <w:r w:rsidRPr="00BD3538">
              <w:rPr>
                <w:rStyle w:val="Hyperlink"/>
                <w:rFonts w:ascii="Arial" w:hAnsi="Arial" w:cs="Arial"/>
                <w:noProof/>
                <w:sz w:val="20"/>
              </w:rPr>
              <w:t>Audit Objectives and Control Testing</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_Toc116458438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51</w:t>
            </w:r>
            <w:r w:rsidRPr="00BD3538">
              <w:rPr>
                <w:rFonts w:ascii="Arial" w:hAnsi="Arial" w:cs="Arial"/>
                <w:noProof/>
                <w:webHidden/>
                <w:sz w:val="20"/>
              </w:rPr>
              <w:fldChar w:fldCharType="end"/>
            </w:r>
          </w:hyperlink>
        </w:p>
        <w:p w14:paraId="37DBC0A2" w14:textId="31F3E492" w:rsidR="00BD3538" w:rsidRPr="00BD3538" w:rsidRDefault="00BD3538">
          <w:pPr>
            <w:pStyle w:val="TOC3"/>
            <w:rPr>
              <w:rFonts w:ascii="Arial" w:eastAsiaTheme="minorEastAsia" w:hAnsi="Arial" w:cs="Arial"/>
              <w:b w:val="0"/>
              <w:noProof/>
              <w:sz w:val="20"/>
            </w:rPr>
          </w:pPr>
          <w:hyperlink w:anchor="_Toc116458439" w:history="1">
            <w:r w:rsidRPr="00BD3538">
              <w:rPr>
                <w:rStyle w:val="Hyperlink"/>
                <w:rFonts w:ascii="Arial" w:hAnsi="Arial" w:cs="Arial"/>
                <w:noProof/>
                <w:sz w:val="20"/>
              </w:rPr>
              <w:t>Suggested Audit Procedures – Compliance</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_Toc116458439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52</w:t>
            </w:r>
            <w:r w:rsidRPr="00BD3538">
              <w:rPr>
                <w:rFonts w:ascii="Arial" w:hAnsi="Arial" w:cs="Arial"/>
                <w:noProof/>
                <w:webHidden/>
                <w:sz w:val="20"/>
              </w:rPr>
              <w:fldChar w:fldCharType="end"/>
            </w:r>
          </w:hyperlink>
        </w:p>
        <w:p w14:paraId="0479DEAC" w14:textId="2FBFBFA2" w:rsidR="00BD3538" w:rsidRPr="00BD3538" w:rsidRDefault="00BD3538">
          <w:pPr>
            <w:pStyle w:val="TOC3"/>
            <w:rPr>
              <w:rFonts w:ascii="Arial" w:eastAsiaTheme="minorEastAsia" w:hAnsi="Arial" w:cs="Arial"/>
              <w:b w:val="0"/>
              <w:noProof/>
              <w:sz w:val="20"/>
            </w:rPr>
          </w:pPr>
          <w:hyperlink w:anchor="_Toc116458440" w:history="1">
            <w:r w:rsidRPr="00BD3538">
              <w:rPr>
                <w:rStyle w:val="Hyperlink"/>
                <w:rFonts w:ascii="Arial" w:hAnsi="Arial" w:cs="Arial"/>
                <w:noProof/>
                <w:sz w:val="20"/>
              </w:rPr>
              <w:t>Audit Implications Summary</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_Toc116458440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52</w:t>
            </w:r>
            <w:r w:rsidRPr="00BD3538">
              <w:rPr>
                <w:rFonts w:ascii="Arial" w:hAnsi="Arial" w:cs="Arial"/>
                <w:noProof/>
                <w:webHidden/>
                <w:sz w:val="20"/>
              </w:rPr>
              <w:fldChar w:fldCharType="end"/>
            </w:r>
          </w:hyperlink>
        </w:p>
        <w:p w14:paraId="52601B77" w14:textId="54EA9F83" w:rsidR="00BD3538" w:rsidRPr="00BD3538" w:rsidRDefault="00BD3538">
          <w:pPr>
            <w:pStyle w:val="TOC2"/>
            <w:rPr>
              <w:rFonts w:eastAsiaTheme="minorEastAsia"/>
              <w:bCs w:val="0"/>
              <w:sz w:val="20"/>
              <w:szCs w:val="20"/>
            </w:rPr>
          </w:pPr>
          <w:hyperlink w:anchor="_Toc116458441" w:history="1">
            <w:r w:rsidRPr="00BD3538">
              <w:rPr>
                <w:rStyle w:val="Hyperlink"/>
                <w:sz w:val="20"/>
                <w:szCs w:val="20"/>
              </w:rPr>
              <w:t>L.  REPORTING</w:t>
            </w:r>
            <w:r w:rsidRPr="00BD3538">
              <w:rPr>
                <w:webHidden/>
                <w:sz w:val="20"/>
                <w:szCs w:val="20"/>
              </w:rPr>
              <w:tab/>
            </w:r>
            <w:r w:rsidRPr="00BD3538">
              <w:rPr>
                <w:webHidden/>
                <w:sz w:val="20"/>
                <w:szCs w:val="20"/>
              </w:rPr>
              <w:fldChar w:fldCharType="begin"/>
            </w:r>
            <w:r w:rsidRPr="00BD3538">
              <w:rPr>
                <w:webHidden/>
                <w:sz w:val="20"/>
                <w:szCs w:val="20"/>
              </w:rPr>
              <w:instrText xml:space="preserve"> PAGEREF _Toc116458441 \h </w:instrText>
            </w:r>
            <w:r w:rsidRPr="00BD3538">
              <w:rPr>
                <w:webHidden/>
                <w:sz w:val="20"/>
                <w:szCs w:val="20"/>
              </w:rPr>
            </w:r>
            <w:r w:rsidRPr="00BD3538">
              <w:rPr>
                <w:webHidden/>
                <w:sz w:val="20"/>
                <w:szCs w:val="20"/>
              </w:rPr>
              <w:fldChar w:fldCharType="separate"/>
            </w:r>
            <w:r w:rsidRPr="00BD3538">
              <w:rPr>
                <w:webHidden/>
                <w:sz w:val="20"/>
                <w:szCs w:val="20"/>
              </w:rPr>
              <w:t>54</w:t>
            </w:r>
            <w:r w:rsidRPr="00BD3538">
              <w:rPr>
                <w:webHidden/>
                <w:sz w:val="20"/>
                <w:szCs w:val="20"/>
              </w:rPr>
              <w:fldChar w:fldCharType="end"/>
            </w:r>
          </w:hyperlink>
        </w:p>
        <w:p w14:paraId="4C0A79CC" w14:textId="700094DD" w:rsidR="00BD3538" w:rsidRPr="00BD3538" w:rsidRDefault="00BD3538">
          <w:pPr>
            <w:pStyle w:val="TOC3"/>
            <w:rPr>
              <w:rFonts w:ascii="Arial" w:eastAsiaTheme="minorEastAsia" w:hAnsi="Arial" w:cs="Arial"/>
              <w:b w:val="0"/>
              <w:noProof/>
              <w:sz w:val="20"/>
            </w:rPr>
          </w:pPr>
          <w:hyperlink w:anchor="_Toc116458442" w:history="1">
            <w:r w:rsidRPr="00BD3538">
              <w:rPr>
                <w:rStyle w:val="Hyperlink"/>
                <w:rFonts w:ascii="Arial" w:hAnsi="Arial" w:cs="Arial"/>
                <w:noProof/>
                <w:sz w:val="20"/>
              </w:rPr>
              <w:t>OMB Compliance Requirements</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_Toc116458442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54</w:t>
            </w:r>
            <w:r w:rsidRPr="00BD3538">
              <w:rPr>
                <w:rFonts w:ascii="Arial" w:hAnsi="Arial" w:cs="Arial"/>
                <w:noProof/>
                <w:webHidden/>
                <w:sz w:val="20"/>
              </w:rPr>
              <w:fldChar w:fldCharType="end"/>
            </w:r>
          </w:hyperlink>
        </w:p>
        <w:p w14:paraId="48EF7195" w14:textId="74321174" w:rsidR="00BD3538" w:rsidRPr="00BD3538" w:rsidRDefault="00BD3538">
          <w:pPr>
            <w:pStyle w:val="TOC3"/>
            <w:rPr>
              <w:rFonts w:ascii="Arial" w:eastAsiaTheme="minorEastAsia" w:hAnsi="Arial" w:cs="Arial"/>
              <w:b w:val="0"/>
              <w:noProof/>
              <w:sz w:val="20"/>
            </w:rPr>
          </w:pPr>
          <w:hyperlink w:anchor="_Toc116458443" w:history="1">
            <w:r w:rsidRPr="00BD3538">
              <w:rPr>
                <w:rStyle w:val="Hyperlink"/>
                <w:rFonts w:ascii="Arial" w:hAnsi="Arial" w:cs="Arial"/>
                <w:noProof/>
                <w:sz w:val="20"/>
              </w:rPr>
              <w:t>Additional Program Specific Information</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_Toc116458443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59</w:t>
            </w:r>
            <w:r w:rsidRPr="00BD3538">
              <w:rPr>
                <w:rFonts w:ascii="Arial" w:hAnsi="Arial" w:cs="Arial"/>
                <w:noProof/>
                <w:webHidden/>
                <w:sz w:val="20"/>
              </w:rPr>
              <w:fldChar w:fldCharType="end"/>
            </w:r>
          </w:hyperlink>
        </w:p>
        <w:p w14:paraId="24E53F3E" w14:textId="1495FDCA" w:rsidR="00BD3538" w:rsidRPr="00BD3538" w:rsidRDefault="00BD3538">
          <w:pPr>
            <w:pStyle w:val="TOC3"/>
            <w:rPr>
              <w:rFonts w:ascii="Arial" w:eastAsiaTheme="minorEastAsia" w:hAnsi="Arial" w:cs="Arial"/>
              <w:b w:val="0"/>
              <w:noProof/>
              <w:sz w:val="20"/>
            </w:rPr>
          </w:pPr>
          <w:hyperlink w:anchor="_Toc116458444" w:history="1">
            <w:r w:rsidRPr="00BD3538">
              <w:rPr>
                <w:rStyle w:val="Hyperlink"/>
                <w:rFonts w:ascii="Arial" w:hAnsi="Arial" w:cs="Arial"/>
                <w:noProof/>
                <w:sz w:val="20"/>
              </w:rPr>
              <w:t>Audit Objectives and Control Testing</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_Toc116458444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59</w:t>
            </w:r>
            <w:r w:rsidRPr="00BD3538">
              <w:rPr>
                <w:rFonts w:ascii="Arial" w:hAnsi="Arial" w:cs="Arial"/>
                <w:noProof/>
                <w:webHidden/>
                <w:sz w:val="20"/>
              </w:rPr>
              <w:fldChar w:fldCharType="end"/>
            </w:r>
          </w:hyperlink>
        </w:p>
        <w:p w14:paraId="09B7E666" w14:textId="0E6A2C94" w:rsidR="00BD3538" w:rsidRPr="00BD3538" w:rsidRDefault="00BD3538">
          <w:pPr>
            <w:pStyle w:val="TOC3"/>
            <w:rPr>
              <w:rFonts w:ascii="Arial" w:eastAsiaTheme="minorEastAsia" w:hAnsi="Arial" w:cs="Arial"/>
              <w:b w:val="0"/>
              <w:noProof/>
              <w:sz w:val="20"/>
            </w:rPr>
          </w:pPr>
          <w:hyperlink w:anchor="_Toc116458445" w:history="1">
            <w:r w:rsidRPr="00BD3538">
              <w:rPr>
                <w:rStyle w:val="Hyperlink"/>
                <w:rFonts w:ascii="Arial" w:hAnsi="Arial" w:cs="Arial"/>
                <w:noProof/>
                <w:sz w:val="20"/>
              </w:rPr>
              <w:t>Suggested Audit Procedures – Compliance</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_Toc116458445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60</w:t>
            </w:r>
            <w:r w:rsidRPr="00BD3538">
              <w:rPr>
                <w:rFonts w:ascii="Arial" w:hAnsi="Arial" w:cs="Arial"/>
                <w:noProof/>
                <w:webHidden/>
                <w:sz w:val="20"/>
              </w:rPr>
              <w:fldChar w:fldCharType="end"/>
            </w:r>
          </w:hyperlink>
        </w:p>
        <w:p w14:paraId="6F0E855C" w14:textId="73023551" w:rsidR="00BD3538" w:rsidRPr="00BD3538" w:rsidRDefault="00BD3538">
          <w:pPr>
            <w:pStyle w:val="TOC3"/>
            <w:rPr>
              <w:rFonts w:ascii="Arial" w:eastAsiaTheme="minorEastAsia" w:hAnsi="Arial" w:cs="Arial"/>
              <w:b w:val="0"/>
              <w:noProof/>
              <w:sz w:val="20"/>
            </w:rPr>
          </w:pPr>
          <w:hyperlink w:anchor="_Toc116458446" w:history="1">
            <w:r w:rsidRPr="00BD3538">
              <w:rPr>
                <w:rStyle w:val="Hyperlink"/>
                <w:rFonts w:ascii="Arial" w:hAnsi="Arial" w:cs="Arial"/>
                <w:noProof/>
                <w:sz w:val="20"/>
              </w:rPr>
              <w:t>Audit Implications Summary</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_Toc116458446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63</w:t>
            </w:r>
            <w:r w:rsidRPr="00BD3538">
              <w:rPr>
                <w:rFonts w:ascii="Arial" w:hAnsi="Arial" w:cs="Arial"/>
                <w:noProof/>
                <w:webHidden/>
                <w:sz w:val="20"/>
              </w:rPr>
              <w:fldChar w:fldCharType="end"/>
            </w:r>
          </w:hyperlink>
        </w:p>
        <w:p w14:paraId="1B1EFE01" w14:textId="21D6B46C" w:rsidR="00BD3538" w:rsidRPr="00BD3538" w:rsidRDefault="00BD3538">
          <w:pPr>
            <w:pStyle w:val="TOC2"/>
            <w:rPr>
              <w:rFonts w:eastAsiaTheme="minorEastAsia"/>
              <w:bCs w:val="0"/>
              <w:sz w:val="20"/>
              <w:szCs w:val="20"/>
            </w:rPr>
          </w:pPr>
          <w:hyperlink w:anchor="_Toc116458447" w:history="1">
            <w:r w:rsidRPr="00BD3538">
              <w:rPr>
                <w:rStyle w:val="Hyperlink"/>
                <w:sz w:val="20"/>
                <w:szCs w:val="20"/>
              </w:rPr>
              <w:t>N.  SPECIAL TESTS AND PROVISIONS – ERA 1 Funds Redirection</w:t>
            </w:r>
            <w:r w:rsidRPr="00BD3538">
              <w:rPr>
                <w:webHidden/>
                <w:sz w:val="20"/>
                <w:szCs w:val="20"/>
              </w:rPr>
              <w:tab/>
            </w:r>
            <w:r w:rsidRPr="00BD3538">
              <w:rPr>
                <w:webHidden/>
                <w:sz w:val="20"/>
                <w:szCs w:val="20"/>
              </w:rPr>
              <w:fldChar w:fldCharType="begin"/>
            </w:r>
            <w:r w:rsidRPr="00BD3538">
              <w:rPr>
                <w:webHidden/>
                <w:sz w:val="20"/>
                <w:szCs w:val="20"/>
              </w:rPr>
              <w:instrText xml:space="preserve"> PAGEREF _Toc116458447 \h </w:instrText>
            </w:r>
            <w:r w:rsidRPr="00BD3538">
              <w:rPr>
                <w:webHidden/>
                <w:sz w:val="20"/>
                <w:szCs w:val="20"/>
              </w:rPr>
            </w:r>
            <w:r w:rsidRPr="00BD3538">
              <w:rPr>
                <w:webHidden/>
                <w:sz w:val="20"/>
                <w:szCs w:val="20"/>
              </w:rPr>
              <w:fldChar w:fldCharType="separate"/>
            </w:r>
            <w:r w:rsidRPr="00BD3538">
              <w:rPr>
                <w:webHidden/>
                <w:sz w:val="20"/>
                <w:szCs w:val="20"/>
              </w:rPr>
              <w:t>65</w:t>
            </w:r>
            <w:r w:rsidRPr="00BD3538">
              <w:rPr>
                <w:webHidden/>
                <w:sz w:val="20"/>
                <w:szCs w:val="20"/>
              </w:rPr>
              <w:fldChar w:fldCharType="end"/>
            </w:r>
          </w:hyperlink>
        </w:p>
        <w:p w14:paraId="0F032F47" w14:textId="5AD50375" w:rsidR="00BD3538" w:rsidRPr="00BD3538" w:rsidRDefault="00BD3538">
          <w:pPr>
            <w:pStyle w:val="TOC3"/>
            <w:rPr>
              <w:rFonts w:ascii="Arial" w:eastAsiaTheme="minorEastAsia" w:hAnsi="Arial" w:cs="Arial"/>
              <w:b w:val="0"/>
              <w:noProof/>
              <w:sz w:val="20"/>
            </w:rPr>
          </w:pPr>
          <w:hyperlink w:anchor="_Toc116458448" w:history="1">
            <w:r w:rsidRPr="00BD3538">
              <w:rPr>
                <w:rStyle w:val="Hyperlink"/>
                <w:rFonts w:ascii="Arial" w:hAnsi="Arial" w:cs="Arial"/>
                <w:noProof/>
                <w:sz w:val="20"/>
              </w:rPr>
              <w:t>OMB Compliance Requirements</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_Toc116458448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65</w:t>
            </w:r>
            <w:r w:rsidRPr="00BD3538">
              <w:rPr>
                <w:rFonts w:ascii="Arial" w:hAnsi="Arial" w:cs="Arial"/>
                <w:noProof/>
                <w:webHidden/>
                <w:sz w:val="20"/>
              </w:rPr>
              <w:fldChar w:fldCharType="end"/>
            </w:r>
          </w:hyperlink>
        </w:p>
        <w:p w14:paraId="08397224" w14:textId="0115BC12" w:rsidR="00BD3538" w:rsidRPr="00BD3538" w:rsidRDefault="00BD3538">
          <w:pPr>
            <w:pStyle w:val="TOC3"/>
            <w:rPr>
              <w:rFonts w:ascii="Arial" w:eastAsiaTheme="minorEastAsia" w:hAnsi="Arial" w:cs="Arial"/>
              <w:b w:val="0"/>
              <w:noProof/>
              <w:sz w:val="20"/>
            </w:rPr>
          </w:pPr>
          <w:hyperlink w:anchor="_Toc116458449" w:history="1">
            <w:r w:rsidRPr="00BD3538">
              <w:rPr>
                <w:rStyle w:val="Hyperlink"/>
                <w:rFonts w:ascii="Arial" w:hAnsi="Arial" w:cs="Arial"/>
                <w:noProof/>
                <w:sz w:val="20"/>
              </w:rPr>
              <w:t>Additional Program Specific Information</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_Toc116458449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65</w:t>
            </w:r>
            <w:r w:rsidRPr="00BD3538">
              <w:rPr>
                <w:rFonts w:ascii="Arial" w:hAnsi="Arial" w:cs="Arial"/>
                <w:noProof/>
                <w:webHidden/>
                <w:sz w:val="20"/>
              </w:rPr>
              <w:fldChar w:fldCharType="end"/>
            </w:r>
          </w:hyperlink>
        </w:p>
        <w:p w14:paraId="1EDC7D29" w14:textId="4F8C48EA" w:rsidR="00BD3538" w:rsidRPr="00BD3538" w:rsidRDefault="00BD3538">
          <w:pPr>
            <w:pStyle w:val="TOC3"/>
            <w:rPr>
              <w:rFonts w:ascii="Arial" w:eastAsiaTheme="minorEastAsia" w:hAnsi="Arial" w:cs="Arial"/>
              <w:b w:val="0"/>
              <w:noProof/>
              <w:sz w:val="20"/>
            </w:rPr>
          </w:pPr>
          <w:hyperlink w:anchor="_Toc116458450" w:history="1">
            <w:r w:rsidRPr="00BD3538">
              <w:rPr>
                <w:rStyle w:val="Hyperlink"/>
                <w:rFonts w:ascii="Arial" w:hAnsi="Arial" w:cs="Arial"/>
                <w:noProof/>
                <w:sz w:val="20"/>
              </w:rPr>
              <w:t>Audit Objectives and Control Testing</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_Toc116458450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66</w:t>
            </w:r>
            <w:r w:rsidRPr="00BD3538">
              <w:rPr>
                <w:rFonts w:ascii="Arial" w:hAnsi="Arial" w:cs="Arial"/>
                <w:noProof/>
                <w:webHidden/>
                <w:sz w:val="20"/>
              </w:rPr>
              <w:fldChar w:fldCharType="end"/>
            </w:r>
          </w:hyperlink>
        </w:p>
        <w:p w14:paraId="0BBA5C93" w14:textId="50F2267C" w:rsidR="00BD3538" w:rsidRPr="00BD3538" w:rsidRDefault="00BD3538">
          <w:pPr>
            <w:pStyle w:val="TOC3"/>
            <w:rPr>
              <w:rFonts w:ascii="Arial" w:eastAsiaTheme="minorEastAsia" w:hAnsi="Arial" w:cs="Arial"/>
              <w:b w:val="0"/>
              <w:noProof/>
              <w:sz w:val="20"/>
            </w:rPr>
          </w:pPr>
          <w:hyperlink w:anchor="_Toc116458451" w:history="1">
            <w:r w:rsidRPr="00BD3538">
              <w:rPr>
                <w:rStyle w:val="Hyperlink"/>
                <w:rFonts w:ascii="Arial" w:hAnsi="Arial" w:cs="Arial"/>
                <w:noProof/>
                <w:sz w:val="20"/>
              </w:rPr>
              <w:t>Suggested Audit Procedures</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_Toc116458451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66</w:t>
            </w:r>
            <w:r w:rsidRPr="00BD3538">
              <w:rPr>
                <w:rFonts w:ascii="Arial" w:hAnsi="Arial" w:cs="Arial"/>
                <w:noProof/>
                <w:webHidden/>
                <w:sz w:val="20"/>
              </w:rPr>
              <w:fldChar w:fldCharType="end"/>
            </w:r>
          </w:hyperlink>
        </w:p>
        <w:p w14:paraId="077E1C3E" w14:textId="3C0172E3" w:rsidR="00BD3538" w:rsidRPr="00BD3538" w:rsidRDefault="00BD3538">
          <w:pPr>
            <w:pStyle w:val="TOC3"/>
            <w:rPr>
              <w:rFonts w:ascii="Arial" w:eastAsiaTheme="minorEastAsia" w:hAnsi="Arial" w:cs="Arial"/>
              <w:b w:val="0"/>
              <w:noProof/>
              <w:sz w:val="20"/>
            </w:rPr>
          </w:pPr>
          <w:hyperlink w:anchor="_Toc116458452" w:history="1">
            <w:r w:rsidRPr="00BD3538">
              <w:rPr>
                <w:rStyle w:val="Hyperlink"/>
                <w:rFonts w:ascii="Arial" w:hAnsi="Arial" w:cs="Arial"/>
                <w:noProof/>
                <w:sz w:val="20"/>
              </w:rPr>
              <w:t>Audit Implications Summary</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_Toc116458452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67</w:t>
            </w:r>
            <w:r w:rsidRPr="00BD3538">
              <w:rPr>
                <w:rFonts w:ascii="Arial" w:hAnsi="Arial" w:cs="Arial"/>
                <w:noProof/>
                <w:webHidden/>
                <w:sz w:val="20"/>
              </w:rPr>
              <w:fldChar w:fldCharType="end"/>
            </w:r>
          </w:hyperlink>
        </w:p>
        <w:p w14:paraId="0C0E29C7" w14:textId="5EEEB724" w:rsidR="00BD3538" w:rsidRPr="00BD3538" w:rsidRDefault="00BD3538">
          <w:pPr>
            <w:pStyle w:val="TOC2"/>
            <w:rPr>
              <w:rFonts w:eastAsiaTheme="minorEastAsia"/>
              <w:bCs w:val="0"/>
              <w:sz w:val="20"/>
              <w:szCs w:val="20"/>
            </w:rPr>
          </w:pPr>
          <w:hyperlink w:anchor="_Toc116458453" w:history="1">
            <w:r w:rsidRPr="00BD3538">
              <w:rPr>
                <w:rStyle w:val="Hyperlink"/>
                <w:sz w:val="20"/>
                <w:szCs w:val="20"/>
              </w:rPr>
              <w:t>N.  SPECIAL TESTS AND PROVISIONS – ERA Funds Reallocation</w:t>
            </w:r>
            <w:r w:rsidRPr="00BD3538">
              <w:rPr>
                <w:webHidden/>
                <w:sz w:val="20"/>
                <w:szCs w:val="20"/>
              </w:rPr>
              <w:tab/>
            </w:r>
            <w:r w:rsidRPr="00BD3538">
              <w:rPr>
                <w:webHidden/>
                <w:sz w:val="20"/>
                <w:szCs w:val="20"/>
              </w:rPr>
              <w:fldChar w:fldCharType="begin"/>
            </w:r>
            <w:r w:rsidRPr="00BD3538">
              <w:rPr>
                <w:webHidden/>
                <w:sz w:val="20"/>
                <w:szCs w:val="20"/>
              </w:rPr>
              <w:instrText xml:space="preserve"> PAGEREF _Toc116458453 \h </w:instrText>
            </w:r>
            <w:r w:rsidRPr="00BD3538">
              <w:rPr>
                <w:webHidden/>
                <w:sz w:val="20"/>
                <w:szCs w:val="20"/>
              </w:rPr>
            </w:r>
            <w:r w:rsidRPr="00BD3538">
              <w:rPr>
                <w:webHidden/>
                <w:sz w:val="20"/>
                <w:szCs w:val="20"/>
              </w:rPr>
              <w:fldChar w:fldCharType="separate"/>
            </w:r>
            <w:r w:rsidRPr="00BD3538">
              <w:rPr>
                <w:webHidden/>
                <w:sz w:val="20"/>
                <w:szCs w:val="20"/>
              </w:rPr>
              <w:t>68</w:t>
            </w:r>
            <w:r w:rsidRPr="00BD3538">
              <w:rPr>
                <w:webHidden/>
                <w:sz w:val="20"/>
                <w:szCs w:val="20"/>
              </w:rPr>
              <w:fldChar w:fldCharType="end"/>
            </w:r>
          </w:hyperlink>
        </w:p>
        <w:p w14:paraId="16657410" w14:textId="7A3538F3" w:rsidR="00BD3538" w:rsidRPr="00BD3538" w:rsidRDefault="00BD3538">
          <w:pPr>
            <w:pStyle w:val="TOC3"/>
            <w:rPr>
              <w:rFonts w:ascii="Arial" w:eastAsiaTheme="minorEastAsia" w:hAnsi="Arial" w:cs="Arial"/>
              <w:b w:val="0"/>
              <w:noProof/>
              <w:sz w:val="20"/>
            </w:rPr>
          </w:pPr>
          <w:hyperlink w:anchor="_Toc116458454" w:history="1">
            <w:r w:rsidRPr="00BD3538">
              <w:rPr>
                <w:rStyle w:val="Hyperlink"/>
                <w:rFonts w:ascii="Arial" w:hAnsi="Arial" w:cs="Arial"/>
                <w:noProof/>
                <w:sz w:val="20"/>
              </w:rPr>
              <w:t>OMB Compliance Requirements</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_Toc116458454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68</w:t>
            </w:r>
            <w:r w:rsidRPr="00BD3538">
              <w:rPr>
                <w:rFonts w:ascii="Arial" w:hAnsi="Arial" w:cs="Arial"/>
                <w:noProof/>
                <w:webHidden/>
                <w:sz w:val="20"/>
              </w:rPr>
              <w:fldChar w:fldCharType="end"/>
            </w:r>
          </w:hyperlink>
        </w:p>
        <w:p w14:paraId="4D224934" w14:textId="49DF510E" w:rsidR="00BD3538" w:rsidRPr="00BD3538" w:rsidRDefault="00BD3538">
          <w:pPr>
            <w:pStyle w:val="TOC3"/>
            <w:rPr>
              <w:rFonts w:ascii="Arial" w:eastAsiaTheme="minorEastAsia" w:hAnsi="Arial" w:cs="Arial"/>
              <w:b w:val="0"/>
              <w:noProof/>
              <w:sz w:val="20"/>
            </w:rPr>
          </w:pPr>
          <w:hyperlink w:anchor="_Toc116458455" w:history="1">
            <w:r w:rsidRPr="00BD3538">
              <w:rPr>
                <w:rStyle w:val="Hyperlink"/>
                <w:rFonts w:ascii="Arial" w:hAnsi="Arial" w:cs="Arial"/>
                <w:noProof/>
                <w:sz w:val="20"/>
              </w:rPr>
              <w:t>Additional Program Specific Information</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_Toc116458455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69</w:t>
            </w:r>
            <w:r w:rsidRPr="00BD3538">
              <w:rPr>
                <w:rFonts w:ascii="Arial" w:hAnsi="Arial" w:cs="Arial"/>
                <w:noProof/>
                <w:webHidden/>
                <w:sz w:val="20"/>
              </w:rPr>
              <w:fldChar w:fldCharType="end"/>
            </w:r>
          </w:hyperlink>
        </w:p>
        <w:p w14:paraId="375F1CFE" w14:textId="788E695F" w:rsidR="00BD3538" w:rsidRPr="00BD3538" w:rsidRDefault="00BD3538">
          <w:pPr>
            <w:pStyle w:val="TOC3"/>
            <w:rPr>
              <w:rFonts w:ascii="Arial" w:eastAsiaTheme="minorEastAsia" w:hAnsi="Arial" w:cs="Arial"/>
              <w:b w:val="0"/>
              <w:noProof/>
              <w:sz w:val="20"/>
            </w:rPr>
          </w:pPr>
          <w:hyperlink w:anchor="_Toc116458456" w:history="1">
            <w:r w:rsidRPr="00BD3538">
              <w:rPr>
                <w:rStyle w:val="Hyperlink"/>
                <w:rFonts w:ascii="Arial" w:hAnsi="Arial" w:cs="Arial"/>
                <w:noProof/>
                <w:sz w:val="20"/>
              </w:rPr>
              <w:t>Audit Objectives and Control Testing</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_Toc116458456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69</w:t>
            </w:r>
            <w:r w:rsidRPr="00BD3538">
              <w:rPr>
                <w:rFonts w:ascii="Arial" w:hAnsi="Arial" w:cs="Arial"/>
                <w:noProof/>
                <w:webHidden/>
                <w:sz w:val="20"/>
              </w:rPr>
              <w:fldChar w:fldCharType="end"/>
            </w:r>
          </w:hyperlink>
        </w:p>
        <w:p w14:paraId="56E81297" w14:textId="40DA98DF" w:rsidR="00BD3538" w:rsidRPr="00BD3538" w:rsidRDefault="00BD3538">
          <w:pPr>
            <w:pStyle w:val="TOC3"/>
            <w:rPr>
              <w:rFonts w:ascii="Arial" w:eastAsiaTheme="minorEastAsia" w:hAnsi="Arial" w:cs="Arial"/>
              <w:b w:val="0"/>
              <w:noProof/>
              <w:sz w:val="20"/>
            </w:rPr>
          </w:pPr>
          <w:hyperlink w:anchor="_Toc116458457" w:history="1">
            <w:r w:rsidRPr="00BD3538">
              <w:rPr>
                <w:rStyle w:val="Hyperlink"/>
                <w:rFonts w:ascii="Arial" w:hAnsi="Arial" w:cs="Arial"/>
                <w:noProof/>
                <w:sz w:val="20"/>
              </w:rPr>
              <w:t>Suggested Audit Procedures</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_Toc116458457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70</w:t>
            </w:r>
            <w:r w:rsidRPr="00BD3538">
              <w:rPr>
                <w:rFonts w:ascii="Arial" w:hAnsi="Arial" w:cs="Arial"/>
                <w:noProof/>
                <w:webHidden/>
                <w:sz w:val="20"/>
              </w:rPr>
              <w:fldChar w:fldCharType="end"/>
            </w:r>
          </w:hyperlink>
        </w:p>
        <w:p w14:paraId="201E0E4A" w14:textId="20D71B10" w:rsidR="00BD3538" w:rsidRPr="00BD3538" w:rsidRDefault="00BD3538">
          <w:pPr>
            <w:pStyle w:val="TOC3"/>
            <w:rPr>
              <w:rFonts w:ascii="Arial" w:eastAsiaTheme="minorEastAsia" w:hAnsi="Arial" w:cs="Arial"/>
              <w:b w:val="0"/>
              <w:noProof/>
              <w:sz w:val="20"/>
            </w:rPr>
          </w:pPr>
          <w:hyperlink w:anchor="_Toc116458458" w:history="1">
            <w:r w:rsidRPr="00BD3538">
              <w:rPr>
                <w:rStyle w:val="Hyperlink"/>
                <w:rFonts w:ascii="Arial" w:hAnsi="Arial" w:cs="Arial"/>
                <w:noProof/>
                <w:sz w:val="20"/>
              </w:rPr>
              <w:t>Audit Implications Summary</w:t>
            </w:r>
            <w:r w:rsidRPr="00BD3538">
              <w:rPr>
                <w:rFonts w:ascii="Arial" w:hAnsi="Arial" w:cs="Arial"/>
                <w:noProof/>
                <w:webHidden/>
                <w:sz w:val="20"/>
              </w:rPr>
              <w:tab/>
            </w:r>
            <w:r w:rsidRPr="00BD3538">
              <w:rPr>
                <w:rFonts w:ascii="Arial" w:hAnsi="Arial" w:cs="Arial"/>
                <w:noProof/>
                <w:webHidden/>
                <w:sz w:val="20"/>
              </w:rPr>
              <w:fldChar w:fldCharType="begin"/>
            </w:r>
            <w:r w:rsidRPr="00BD3538">
              <w:rPr>
                <w:rFonts w:ascii="Arial" w:hAnsi="Arial" w:cs="Arial"/>
                <w:noProof/>
                <w:webHidden/>
                <w:sz w:val="20"/>
              </w:rPr>
              <w:instrText xml:space="preserve"> PAGEREF _Toc116458458 \h </w:instrText>
            </w:r>
            <w:r w:rsidRPr="00BD3538">
              <w:rPr>
                <w:rFonts w:ascii="Arial" w:hAnsi="Arial" w:cs="Arial"/>
                <w:noProof/>
                <w:webHidden/>
                <w:sz w:val="20"/>
              </w:rPr>
            </w:r>
            <w:r w:rsidRPr="00BD3538">
              <w:rPr>
                <w:rFonts w:ascii="Arial" w:hAnsi="Arial" w:cs="Arial"/>
                <w:noProof/>
                <w:webHidden/>
                <w:sz w:val="20"/>
              </w:rPr>
              <w:fldChar w:fldCharType="separate"/>
            </w:r>
            <w:r w:rsidRPr="00BD3538">
              <w:rPr>
                <w:rFonts w:ascii="Arial" w:hAnsi="Arial" w:cs="Arial"/>
                <w:noProof/>
                <w:webHidden/>
                <w:sz w:val="20"/>
              </w:rPr>
              <w:t>70</w:t>
            </w:r>
            <w:r w:rsidRPr="00BD3538">
              <w:rPr>
                <w:rFonts w:ascii="Arial" w:hAnsi="Arial" w:cs="Arial"/>
                <w:noProof/>
                <w:webHidden/>
                <w:sz w:val="20"/>
              </w:rPr>
              <w:fldChar w:fldCharType="end"/>
            </w:r>
          </w:hyperlink>
        </w:p>
        <w:p w14:paraId="3C16E1C8" w14:textId="5EB90696" w:rsidR="00BD3538" w:rsidRPr="00BD3538" w:rsidRDefault="00BD3538">
          <w:pPr>
            <w:pStyle w:val="TOC2"/>
            <w:rPr>
              <w:rFonts w:eastAsiaTheme="minorEastAsia"/>
              <w:bCs w:val="0"/>
              <w:sz w:val="20"/>
              <w:szCs w:val="20"/>
            </w:rPr>
          </w:pPr>
          <w:hyperlink w:anchor="_Toc116458459" w:history="1">
            <w:r w:rsidRPr="00BD3538">
              <w:rPr>
                <w:rStyle w:val="Hyperlink"/>
                <w:sz w:val="20"/>
                <w:szCs w:val="20"/>
              </w:rPr>
              <w:t>Program Testing Conclusion</w:t>
            </w:r>
            <w:r w:rsidRPr="00BD3538">
              <w:rPr>
                <w:webHidden/>
                <w:sz w:val="20"/>
                <w:szCs w:val="20"/>
              </w:rPr>
              <w:tab/>
            </w:r>
            <w:r w:rsidRPr="00BD3538">
              <w:rPr>
                <w:webHidden/>
                <w:sz w:val="20"/>
                <w:szCs w:val="20"/>
              </w:rPr>
              <w:fldChar w:fldCharType="begin"/>
            </w:r>
            <w:r w:rsidRPr="00BD3538">
              <w:rPr>
                <w:webHidden/>
                <w:sz w:val="20"/>
                <w:szCs w:val="20"/>
              </w:rPr>
              <w:instrText xml:space="preserve"> PAGEREF _Toc116458459 \h </w:instrText>
            </w:r>
            <w:r w:rsidRPr="00BD3538">
              <w:rPr>
                <w:webHidden/>
                <w:sz w:val="20"/>
                <w:szCs w:val="20"/>
              </w:rPr>
            </w:r>
            <w:r w:rsidRPr="00BD3538">
              <w:rPr>
                <w:webHidden/>
                <w:sz w:val="20"/>
                <w:szCs w:val="20"/>
              </w:rPr>
              <w:fldChar w:fldCharType="separate"/>
            </w:r>
            <w:r w:rsidRPr="00BD3538">
              <w:rPr>
                <w:webHidden/>
                <w:sz w:val="20"/>
                <w:szCs w:val="20"/>
              </w:rPr>
              <w:t>71</w:t>
            </w:r>
            <w:r w:rsidRPr="00BD3538">
              <w:rPr>
                <w:webHidden/>
                <w:sz w:val="20"/>
                <w:szCs w:val="20"/>
              </w:rPr>
              <w:fldChar w:fldCharType="end"/>
            </w:r>
          </w:hyperlink>
        </w:p>
        <w:p w14:paraId="03C2BB18" w14:textId="32A2F91D" w:rsidR="00084EE0" w:rsidRPr="00F00D94" w:rsidRDefault="00084EE0" w:rsidP="006672EA">
          <w:pPr>
            <w:jc w:val="both"/>
            <w:rPr>
              <w:rFonts w:ascii="Arial" w:hAnsi="Arial" w:cs="Arial"/>
            </w:rPr>
          </w:pPr>
          <w:r w:rsidRPr="00BD3538">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6"/>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16458403"/>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 in particular, review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026383F2" w:rsidR="0010435B" w:rsidRPr="00F00D94" w:rsidRDefault="000F28E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666408E8" w:rsidR="0010435B" w:rsidRPr="00F00D94" w:rsidRDefault="000F28E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075B1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5C0A3C88" w:rsidR="0010435B" w:rsidRPr="00F00D94" w:rsidRDefault="000F28E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7B399F64" w14:textId="680492ED"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D6E8850" w14:textId="12857CEB" w:rsidR="0010435B" w:rsidRPr="00F00D94" w:rsidRDefault="0010435B" w:rsidP="00075B14">
            <w:pPr>
              <w:jc w:val="center"/>
              <w:rPr>
                <w:rFonts w:ascii="Arial" w:hAnsi="Arial" w:cs="Arial"/>
                <w:sz w:val="20"/>
              </w:rPr>
            </w:pPr>
          </w:p>
        </w:tc>
      </w:tr>
      <w:tr w:rsidR="0010435B" w:rsidRPr="00F00D94"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28D15982" w:rsidR="0010435B" w:rsidRPr="00F00D94" w:rsidRDefault="000F28E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F00D94" w:rsidRDefault="0010435B" w:rsidP="006672EA">
            <w:pPr>
              <w:jc w:val="center"/>
              <w:rPr>
                <w:rFonts w:ascii="Arial" w:hAnsi="Arial" w:cs="Arial"/>
                <w:sz w:val="20"/>
              </w:rPr>
            </w:pPr>
            <w:r w:rsidRPr="00F00D94">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75696477" w14:textId="77777777" w:rsidTr="00075B1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76A2FE04" w:rsidR="0010435B" w:rsidRPr="00F00D94" w:rsidRDefault="000F28E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4BDE8972" w14:textId="26160FA6"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0D5AF4AE" w14:textId="376329B3" w:rsidR="0010435B" w:rsidRPr="00F00D94" w:rsidRDefault="0010435B" w:rsidP="00075B14">
            <w:pPr>
              <w:jc w:val="center"/>
              <w:rPr>
                <w:rFonts w:ascii="Arial" w:hAnsi="Arial" w:cs="Arial"/>
                <w:sz w:val="20"/>
              </w:rPr>
            </w:pPr>
          </w:p>
        </w:tc>
      </w:tr>
      <w:tr w:rsidR="0010435B" w:rsidRPr="00F00D94" w14:paraId="43A8818F" w14:textId="77777777" w:rsidTr="00075B1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38F6E72B" w:rsidR="0010435B" w:rsidRPr="00F00D94" w:rsidRDefault="000F28E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1623FDFC" w14:textId="72437C0F"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FD2C3A6" w14:textId="21FB48F5" w:rsidR="0010435B" w:rsidRPr="00F00D94" w:rsidRDefault="0010435B" w:rsidP="00075B14">
            <w:pPr>
              <w:jc w:val="center"/>
              <w:rPr>
                <w:rFonts w:ascii="Arial" w:hAnsi="Arial" w:cs="Arial"/>
                <w:sz w:val="20"/>
              </w:rPr>
            </w:pPr>
          </w:p>
        </w:tc>
      </w:tr>
      <w:tr w:rsidR="0010435B" w:rsidRPr="00F00D94"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785DADC8" w:rsidR="0010435B" w:rsidRPr="00F00D94" w:rsidRDefault="000F28E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1F61491" w14:textId="77777777" w:rsidTr="00075B1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107DCE9D" w:rsidR="0010435B" w:rsidRPr="00F00D94" w:rsidRDefault="000F28E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4E7C3E28" w14:textId="402A9C12"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48E05A54" w14:textId="3DB239CD" w:rsidR="0010435B" w:rsidRPr="00F00D94" w:rsidRDefault="0010435B" w:rsidP="00075B14">
            <w:pPr>
              <w:jc w:val="center"/>
              <w:rPr>
                <w:rFonts w:ascii="Arial" w:hAnsi="Arial" w:cs="Arial"/>
                <w:sz w:val="20"/>
              </w:rPr>
            </w:pPr>
          </w:p>
        </w:tc>
      </w:tr>
      <w:tr w:rsidR="0010435B" w:rsidRPr="00F00D94" w14:paraId="16987E1E" w14:textId="77777777" w:rsidTr="00075B1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080E7B38" w:rsidR="0010435B" w:rsidRPr="00F00D94" w:rsidRDefault="000F28E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1F2336B7" w14:textId="79605073"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31FD0C3" w14:textId="7EFB49F4" w:rsidR="0010435B" w:rsidRPr="00F00D94" w:rsidRDefault="0010435B" w:rsidP="00075B14">
            <w:pPr>
              <w:jc w:val="center"/>
              <w:rPr>
                <w:rFonts w:ascii="Arial" w:hAnsi="Arial" w:cs="Arial"/>
                <w:sz w:val="20"/>
              </w:rPr>
            </w:pPr>
          </w:p>
        </w:tc>
      </w:tr>
      <w:tr w:rsidR="0010435B" w:rsidRPr="00F00D94"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57A3E312" w:rsidR="0010435B" w:rsidRPr="00F00D94" w:rsidRDefault="000F28E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72CF103" w14:textId="77777777" w:rsidTr="00075B1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64CACC84" w:rsidR="0010435B" w:rsidRPr="00F00D94" w:rsidRDefault="000F28E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540B22F8" w14:textId="0951115A"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021ABF63" w14:textId="061358FB" w:rsidR="0010435B" w:rsidRPr="00F00D94" w:rsidRDefault="0010435B" w:rsidP="00075B14">
            <w:pPr>
              <w:jc w:val="center"/>
              <w:rPr>
                <w:rFonts w:ascii="Arial" w:hAnsi="Arial" w:cs="Arial"/>
                <w:sz w:val="20"/>
              </w:rPr>
            </w:pPr>
          </w:p>
        </w:tc>
      </w:tr>
      <w:tr w:rsidR="0010435B" w:rsidRPr="00F00D94" w14:paraId="6B68C39A"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2F4939E6" w:rsidR="0010435B" w:rsidRPr="00F00D94" w:rsidRDefault="0010435B" w:rsidP="00F34B5D">
            <w:pPr>
              <w:jc w:val="both"/>
              <w:rPr>
                <w:rFonts w:ascii="Arial" w:hAnsi="Arial" w:cs="Arial"/>
                <w:b/>
                <w:bCs/>
                <w:sz w:val="20"/>
              </w:rPr>
            </w:pPr>
            <w:r w:rsidRPr="00F00D94">
              <w:rPr>
                <w:rFonts w:ascii="Arial" w:hAnsi="Arial" w:cs="Arial"/>
                <w:b/>
                <w:bCs/>
                <w:sz w:val="20"/>
              </w:rPr>
              <w:t xml:space="preserve">Special Tests &amp; Provisions </w:t>
            </w:r>
            <w:r w:rsidR="00F34B5D">
              <w:rPr>
                <w:rFonts w:ascii="Arial" w:hAnsi="Arial" w:cs="Arial"/>
                <w:b/>
                <w:bCs/>
                <w:sz w:val="20"/>
              </w:rPr>
              <w:t>– ERA 1 Funds Redirection</w:t>
            </w:r>
          </w:p>
        </w:tc>
        <w:tc>
          <w:tcPr>
            <w:tcW w:w="369" w:type="pct"/>
            <w:tcBorders>
              <w:top w:val="nil"/>
              <w:left w:val="nil"/>
              <w:bottom w:val="single" w:sz="4" w:space="0" w:color="auto"/>
              <w:right w:val="single" w:sz="4" w:space="0" w:color="auto"/>
            </w:tcBorders>
            <w:shd w:val="clear" w:color="auto" w:fill="auto"/>
            <w:noWrap/>
            <w:hideMark/>
          </w:tcPr>
          <w:p w14:paraId="1089FBC5" w14:textId="7FBD7FFE" w:rsidR="0010435B" w:rsidRPr="00F00D94" w:rsidRDefault="000F28E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88C5F0E"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C274F30"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B15B9A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7F437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C4CB86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64AFE6A"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60F0EC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AB70C89"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950585" w:rsidRPr="00F00D94" w14:paraId="7FB5BC40" w14:textId="77777777" w:rsidTr="00950585">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4A3D7B43" w14:textId="77777777" w:rsidR="00950585" w:rsidRPr="00F00D94" w:rsidRDefault="00950585" w:rsidP="00F46988">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33AE91E8" w14:textId="77777777" w:rsidR="00950585" w:rsidRPr="00F00D94" w:rsidRDefault="00950585" w:rsidP="00F46988">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4B203F95" w14:textId="37634F83" w:rsidR="00950585" w:rsidRPr="00F00D94" w:rsidRDefault="00950585" w:rsidP="00950585">
            <w:pPr>
              <w:jc w:val="both"/>
              <w:rPr>
                <w:rFonts w:ascii="Arial" w:hAnsi="Arial" w:cs="Arial"/>
                <w:b/>
                <w:bCs/>
                <w:sz w:val="20"/>
              </w:rPr>
            </w:pPr>
            <w:r w:rsidRPr="00F00D94">
              <w:rPr>
                <w:rFonts w:ascii="Arial" w:hAnsi="Arial" w:cs="Arial"/>
                <w:b/>
                <w:bCs/>
                <w:sz w:val="20"/>
              </w:rPr>
              <w:t xml:space="preserve">Special Tests &amp; Provisions </w:t>
            </w:r>
            <w:r>
              <w:rPr>
                <w:rFonts w:ascii="Arial" w:hAnsi="Arial" w:cs="Arial"/>
                <w:b/>
                <w:bCs/>
                <w:sz w:val="20"/>
              </w:rPr>
              <w:t>– ERA Funds Reallocation</w:t>
            </w:r>
          </w:p>
        </w:tc>
        <w:tc>
          <w:tcPr>
            <w:tcW w:w="369" w:type="pct"/>
            <w:tcBorders>
              <w:top w:val="nil"/>
              <w:left w:val="nil"/>
              <w:bottom w:val="single" w:sz="4" w:space="0" w:color="auto"/>
              <w:right w:val="single" w:sz="4" w:space="0" w:color="auto"/>
            </w:tcBorders>
            <w:shd w:val="clear" w:color="auto" w:fill="auto"/>
            <w:noWrap/>
            <w:hideMark/>
          </w:tcPr>
          <w:p w14:paraId="2F3409DA" w14:textId="77777777" w:rsidR="00950585" w:rsidRPr="00F00D94" w:rsidRDefault="00950585" w:rsidP="00F46988">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7A6AB80C" w14:textId="77777777" w:rsidR="00950585" w:rsidRPr="00F00D94" w:rsidRDefault="00950585" w:rsidP="00F46988">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23ABFA" w14:textId="77777777" w:rsidR="00950585" w:rsidRPr="00F00D94" w:rsidRDefault="00950585" w:rsidP="00F46988">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52898D55" w14:textId="77777777" w:rsidR="00950585" w:rsidRPr="00F00D94" w:rsidRDefault="00950585" w:rsidP="00F46988">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1FFC4EF" w14:textId="77777777" w:rsidR="00950585" w:rsidRPr="00F00D94" w:rsidRDefault="00950585" w:rsidP="00F46988">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4C32AA23" w14:textId="77777777" w:rsidR="00950585" w:rsidRPr="00F00D94" w:rsidRDefault="00950585" w:rsidP="00F46988">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B5EC17" w14:textId="77777777" w:rsidR="00950585" w:rsidRPr="00F00D94" w:rsidRDefault="00950585" w:rsidP="00F46988">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42F0400" w14:textId="77777777" w:rsidR="00950585" w:rsidRPr="00F00D94" w:rsidRDefault="00950585" w:rsidP="00F46988">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AB93F15" w14:textId="77777777" w:rsidR="00950585" w:rsidRPr="00950585" w:rsidRDefault="00950585" w:rsidP="00F46988">
            <w:pPr>
              <w:jc w:val="center"/>
              <w:rPr>
                <w:rFonts w:ascii="Arial" w:hAnsi="Arial" w:cs="Arial"/>
                <w:i/>
                <w:iCs/>
                <w:sz w:val="20"/>
              </w:rPr>
            </w:pPr>
            <w:r w:rsidRPr="00F00D94">
              <w:rPr>
                <w:rFonts w:ascii="Arial" w:hAnsi="Arial" w:cs="Arial"/>
                <w:i/>
                <w:iCs/>
                <w:sz w:val="20"/>
              </w:rPr>
              <w:t>5%</w:t>
            </w: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r w:rsidR="002E6F9D" w:rsidRPr="00F00D94">
        <w:rPr>
          <w:rFonts w:ascii="Arial" w:hAnsi="Arial" w:cs="Arial"/>
          <w:b/>
          <w:bCs/>
          <w:color w:val="FF0000"/>
          <w:szCs w:val="24"/>
        </w:rPr>
        <w:t>have to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37EAE21B" w:rsidR="0010435B" w:rsidRPr="00F00D94" w:rsidRDefault="0010435B" w:rsidP="00D76F2F">
      <w:pPr>
        <w:spacing w:after="240"/>
        <w:jc w:val="both"/>
        <w:rPr>
          <w:rFonts w:ascii="Arial" w:hAnsi="Arial" w:cs="Arial"/>
          <w:sz w:val="20"/>
        </w:rPr>
      </w:pPr>
      <w:r w:rsidRPr="00F00D94">
        <w:rPr>
          <w:rFonts w:ascii="Arial" w:hAnsi="Arial" w:cs="Arial"/>
          <w:b/>
          <w:sz w:val="20"/>
        </w:rPr>
        <w:lastRenderedPageBreak/>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7"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77777777"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dual purpose test is designed and evaluated by considering each purpose of the test separately. </w:t>
      </w:r>
    </w:p>
    <w:p w14:paraId="2427F80C" w14:textId="20611C2B"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substantive procedures to be performed. See chapter 11 of the AICPA Single Audit Guide for a discussion of the use of dual purpose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48F0F6F5" w:rsidR="000104D2" w:rsidRPr="00F00D94" w:rsidRDefault="00B013E4" w:rsidP="000104D2">
      <w:pPr>
        <w:pStyle w:val="BodyText"/>
        <w:ind w:right="115"/>
        <w:jc w:val="both"/>
        <w:rPr>
          <w:rFonts w:ascii="Arial" w:hAnsi="Arial" w:cs="Arial"/>
          <w:sz w:val="20"/>
          <w:szCs w:val="20"/>
        </w:rPr>
      </w:pPr>
      <w:hyperlink r:id="rId19"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437268">
      <w:pPr>
        <w:pStyle w:val="ListParagraph"/>
        <w:widowControl w:val="0"/>
        <w:numPr>
          <w:ilvl w:val="0"/>
          <w:numId w:val="34"/>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437268">
      <w:pPr>
        <w:pStyle w:val="ListParagraph"/>
        <w:widowControl w:val="0"/>
        <w:numPr>
          <w:ilvl w:val="0"/>
          <w:numId w:val="34"/>
        </w:numPr>
        <w:suppressAutoHyphens w:val="0"/>
        <w:adjustRightInd/>
        <w:spacing w:after="240"/>
        <w:jc w:val="both"/>
        <w:rPr>
          <w:rFonts w:ascii="Arial" w:hAnsi="Arial" w:cs="Arial"/>
        </w:rPr>
      </w:pPr>
      <w:r w:rsidRPr="00F00D94">
        <w:rPr>
          <w:rFonts w:ascii="Arial" w:hAnsi="Arial" w:cs="Arial"/>
        </w:rPr>
        <w:lastRenderedPageBreak/>
        <w:t>A payment that could be either proper or improper, but the agency is unable to discern whether the payment was proper or improper as a result of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16458404"/>
      <w:r w:rsidRPr="00F00D94">
        <w:rPr>
          <w:rFonts w:cs="Arial"/>
        </w:rPr>
        <w:lastRenderedPageBreak/>
        <w:t>Part I</w:t>
      </w:r>
      <w:bookmarkEnd w:id="8"/>
      <w:r w:rsidR="003644ED" w:rsidRPr="00F00D94">
        <w:rPr>
          <w:rFonts w:cs="Arial"/>
        </w:rPr>
        <w:t xml:space="preserve"> – OMB Compliance Supplement Information</w:t>
      </w:r>
      <w:bookmarkEnd w:id="9"/>
    </w:p>
    <w:p w14:paraId="240AA8D7" w14:textId="77777777" w:rsidR="009656BB" w:rsidRPr="00F00D94" w:rsidRDefault="009656BB" w:rsidP="002D2E45">
      <w:pPr>
        <w:pStyle w:val="Heading3"/>
      </w:pPr>
      <w:bookmarkStart w:id="10" w:name="_Toc116458405"/>
      <w:r w:rsidRPr="00F00D94">
        <w:t>I. Program Objectives</w:t>
      </w:r>
      <w:bookmarkEnd w:id="10"/>
    </w:p>
    <w:p w14:paraId="5B1D70AE" w14:textId="374A2B2C" w:rsidR="002D2E45" w:rsidRPr="004F5AFB" w:rsidRDefault="002D2E45" w:rsidP="00720609">
      <w:pPr>
        <w:pStyle w:val="BodyText"/>
        <w:jc w:val="both"/>
        <w:rPr>
          <w:rFonts w:ascii="Arial" w:hAnsi="Arial" w:cs="Arial"/>
          <w:sz w:val="20"/>
          <w:szCs w:val="20"/>
        </w:rPr>
      </w:pPr>
      <w:r w:rsidRPr="004F5AFB">
        <w:rPr>
          <w:rFonts w:ascii="Arial" w:hAnsi="Arial" w:cs="Arial"/>
          <w:color w:val="231F20"/>
          <w:sz w:val="20"/>
          <w:szCs w:val="20"/>
        </w:rPr>
        <w:t>Note: This program is considered a "higher risk" program for 2022, pursuant to 2 CFR section 200.519(c)(2). Refer to the "Programs with Higher Risk Designation" section of Part 8, Appendix IV, Internal Reference Tables, for a discussion of the impact of the "higher risk" designation on the major program determination process.</w:t>
      </w:r>
    </w:p>
    <w:p w14:paraId="153F0C9F" w14:textId="33BEDB0F" w:rsidR="002D2E45" w:rsidRPr="004F5AFB" w:rsidRDefault="002D2E45" w:rsidP="00720609">
      <w:pPr>
        <w:pStyle w:val="BodyText"/>
        <w:jc w:val="both"/>
        <w:rPr>
          <w:rFonts w:ascii="Arial" w:hAnsi="Arial" w:cs="Arial"/>
          <w:sz w:val="20"/>
          <w:szCs w:val="20"/>
        </w:rPr>
      </w:pPr>
      <w:r w:rsidRPr="004F5AFB">
        <w:rPr>
          <w:rFonts w:ascii="Arial" w:hAnsi="Arial" w:cs="Arial"/>
          <w:color w:val="231F20"/>
          <w:sz w:val="20"/>
          <w:szCs w:val="20"/>
        </w:rPr>
        <w:t>Two pieces of legislation authorized funding for Emergency Rental Assistance. The authorizations include some different legal requirements. Therefore, this Compliance Supplement addresses the requirements as “ERA 1” and “ERA 2.” ERA1 was authorized by Division</w:t>
      </w:r>
      <w:r w:rsidRPr="004F5AFB">
        <w:rPr>
          <w:rFonts w:ascii="Arial" w:hAnsi="Arial" w:cs="Arial"/>
          <w:color w:val="231F20"/>
          <w:spacing w:val="-4"/>
          <w:sz w:val="20"/>
          <w:szCs w:val="20"/>
        </w:rPr>
        <w:t xml:space="preserve"> </w:t>
      </w:r>
      <w:r w:rsidRPr="004F5AFB">
        <w:rPr>
          <w:rFonts w:ascii="Arial" w:hAnsi="Arial" w:cs="Arial"/>
          <w:color w:val="231F20"/>
          <w:sz w:val="20"/>
          <w:szCs w:val="20"/>
        </w:rPr>
        <w:t>N,</w:t>
      </w:r>
      <w:r w:rsidRPr="004F5AFB">
        <w:rPr>
          <w:rFonts w:ascii="Arial" w:hAnsi="Arial" w:cs="Arial"/>
          <w:color w:val="231F20"/>
          <w:spacing w:val="-3"/>
          <w:sz w:val="20"/>
          <w:szCs w:val="20"/>
        </w:rPr>
        <w:t xml:space="preserve"> </w:t>
      </w:r>
      <w:r w:rsidRPr="004F5AFB">
        <w:rPr>
          <w:rFonts w:ascii="Arial" w:hAnsi="Arial" w:cs="Arial"/>
          <w:color w:val="231F20"/>
          <w:sz w:val="20"/>
          <w:szCs w:val="20"/>
        </w:rPr>
        <w:t>Title</w:t>
      </w:r>
      <w:r w:rsidRPr="004F5AFB">
        <w:rPr>
          <w:rFonts w:ascii="Arial" w:hAnsi="Arial" w:cs="Arial"/>
          <w:color w:val="231F20"/>
          <w:spacing w:val="-4"/>
          <w:sz w:val="20"/>
          <w:szCs w:val="20"/>
        </w:rPr>
        <w:t xml:space="preserve"> </w:t>
      </w:r>
      <w:r w:rsidRPr="004F5AFB">
        <w:rPr>
          <w:rFonts w:ascii="Arial" w:hAnsi="Arial" w:cs="Arial"/>
          <w:color w:val="231F20"/>
          <w:sz w:val="20"/>
          <w:szCs w:val="20"/>
        </w:rPr>
        <w:t>V,</w:t>
      </w:r>
      <w:r w:rsidRPr="004F5AFB">
        <w:rPr>
          <w:rFonts w:ascii="Arial" w:hAnsi="Arial" w:cs="Arial"/>
          <w:color w:val="231F20"/>
          <w:spacing w:val="-3"/>
          <w:sz w:val="20"/>
          <w:szCs w:val="20"/>
        </w:rPr>
        <w:t xml:space="preserve"> </w:t>
      </w:r>
      <w:r w:rsidRPr="004F5AFB">
        <w:rPr>
          <w:rFonts w:ascii="Arial" w:hAnsi="Arial" w:cs="Arial"/>
          <w:color w:val="231F20"/>
          <w:sz w:val="20"/>
          <w:szCs w:val="20"/>
        </w:rPr>
        <w:t>Section</w:t>
      </w:r>
      <w:r w:rsidRPr="004F5AFB">
        <w:rPr>
          <w:rFonts w:ascii="Arial" w:hAnsi="Arial" w:cs="Arial"/>
          <w:color w:val="231F20"/>
          <w:spacing w:val="-4"/>
          <w:sz w:val="20"/>
          <w:szCs w:val="20"/>
        </w:rPr>
        <w:t xml:space="preserve"> </w:t>
      </w:r>
      <w:r w:rsidRPr="004F5AFB">
        <w:rPr>
          <w:rFonts w:ascii="Arial" w:hAnsi="Arial" w:cs="Arial"/>
          <w:color w:val="231F20"/>
          <w:sz w:val="20"/>
          <w:szCs w:val="20"/>
        </w:rPr>
        <w:t>501</w:t>
      </w:r>
      <w:r w:rsidRPr="004F5AFB">
        <w:rPr>
          <w:rFonts w:ascii="Arial" w:hAnsi="Arial" w:cs="Arial"/>
          <w:color w:val="231F20"/>
          <w:spacing w:val="-3"/>
          <w:sz w:val="20"/>
          <w:szCs w:val="20"/>
        </w:rPr>
        <w:t xml:space="preserve"> </w:t>
      </w:r>
      <w:r w:rsidRPr="004F5AFB">
        <w:rPr>
          <w:rFonts w:ascii="Arial" w:hAnsi="Arial" w:cs="Arial"/>
          <w:color w:val="231F20"/>
          <w:sz w:val="20"/>
          <w:szCs w:val="20"/>
        </w:rPr>
        <w:t>of the</w:t>
      </w:r>
      <w:r w:rsidRPr="004F5AFB">
        <w:rPr>
          <w:rFonts w:ascii="Arial" w:hAnsi="Arial" w:cs="Arial"/>
          <w:color w:val="231F20"/>
          <w:spacing w:val="-4"/>
          <w:sz w:val="20"/>
          <w:szCs w:val="20"/>
        </w:rPr>
        <w:t xml:space="preserve"> </w:t>
      </w:r>
      <w:r w:rsidRPr="004F5AFB">
        <w:rPr>
          <w:rFonts w:ascii="Arial" w:hAnsi="Arial" w:cs="Arial"/>
          <w:color w:val="231F20"/>
          <w:sz w:val="20"/>
          <w:szCs w:val="20"/>
        </w:rPr>
        <w:t>Consolidated</w:t>
      </w:r>
      <w:r w:rsidRPr="004F5AFB">
        <w:rPr>
          <w:rFonts w:ascii="Arial" w:hAnsi="Arial" w:cs="Arial"/>
          <w:color w:val="231F20"/>
          <w:spacing w:val="-3"/>
          <w:sz w:val="20"/>
          <w:szCs w:val="20"/>
        </w:rPr>
        <w:t xml:space="preserve"> </w:t>
      </w:r>
      <w:r w:rsidRPr="004F5AFB">
        <w:rPr>
          <w:rFonts w:ascii="Arial" w:hAnsi="Arial" w:cs="Arial"/>
          <w:color w:val="231F20"/>
          <w:sz w:val="20"/>
          <w:szCs w:val="20"/>
        </w:rPr>
        <w:t>Appropriations</w:t>
      </w:r>
      <w:r w:rsidRPr="004F5AFB">
        <w:rPr>
          <w:rFonts w:ascii="Arial" w:hAnsi="Arial" w:cs="Arial"/>
          <w:color w:val="231F20"/>
          <w:spacing w:val="-3"/>
          <w:sz w:val="20"/>
          <w:szCs w:val="20"/>
        </w:rPr>
        <w:t xml:space="preserve"> </w:t>
      </w:r>
      <w:r w:rsidRPr="004F5AFB">
        <w:rPr>
          <w:rFonts w:ascii="Arial" w:hAnsi="Arial" w:cs="Arial"/>
          <w:color w:val="231F20"/>
          <w:sz w:val="20"/>
          <w:szCs w:val="20"/>
        </w:rPr>
        <w:t>Act,</w:t>
      </w:r>
      <w:r w:rsidRPr="004F5AFB">
        <w:rPr>
          <w:rFonts w:ascii="Arial" w:hAnsi="Arial" w:cs="Arial"/>
          <w:color w:val="231F20"/>
          <w:spacing w:val="-3"/>
          <w:sz w:val="20"/>
          <w:szCs w:val="20"/>
        </w:rPr>
        <w:t xml:space="preserve"> </w:t>
      </w:r>
      <w:r w:rsidRPr="004F5AFB">
        <w:rPr>
          <w:rFonts w:ascii="Arial" w:hAnsi="Arial" w:cs="Arial"/>
          <w:color w:val="231F20"/>
          <w:sz w:val="20"/>
          <w:szCs w:val="20"/>
        </w:rPr>
        <w:t>2021</w:t>
      </w:r>
      <w:r w:rsidRPr="004F5AFB">
        <w:rPr>
          <w:rFonts w:ascii="Arial" w:hAnsi="Arial" w:cs="Arial"/>
          <w:color w:val="231F20"/>
          <w:spacing w:val="-4"/>
          <w:sz w:val="20"/>
          <w:szCs w:val="20"/>
        </w:rPr>
        <w:t xml:space="preserve"> </w:t>
      </w:r>
      <w:r w:rsidRPr="004F5AFB">
        <w:rPr>
          <w:rFonts w:ascii="Arial" w:hAnsi="Arial" w:cs="Arial"/>
          <w:color w:val="231F20"/>
          <w:sz w:val="20"/>
          <w:szCs w:val="20"/>
        </w:rPr>
        <w:t>(the</w:t>
      </w:r>
      <w:r w:rsidRPr="004F5AFB">
        <w:rPr>
          <w:rFonts w:ascii="Arial" w:hAnsi="Arial" w:cs="Arial"/>
          <w:color w:val="231F20"/>
          <w:spacing w:val="-3"/>
          <w:sz w:val="20"/>
          <w:szCs w:val="20"/>
        </w:rPr>
        <w:t xml:space="preserve"> </w:t>
      </w:r>
      <w:r w:rsidRPr="004F5AFB">
        <w:rPr>
          <w:rFonts w:ascii="Arial" w:hAnsi="Arial" w:cs="Arial"/>
          <w:color w:val="231F20"/>
          <w:sz w:val="20"/>
          <w:szCs w:val="20"/>
        </w:rPr>
        <w:t>Act),</w:t>
      </w:r>
      <w:r w:rsidRPr="004F5AFB">
        <w:rPr>
          <w:rFonts w:ascii="Arial" w:hAnsi="Arial" w:cs="Arial"/>
          <w:color w:val="231F20"/>
          <w:spacing w:val="-3"/>
          <w:sz w:val="20"/>
          <w:szCs w:val="20"/>
        </w:rPr>
        <w:t xml:space="preserve"> </w:t>
      </w:r>
      <w:r w:rsidRPr="004F5AFB">
        <w:rPr>
          <w:rFonts w:ascii="Arial" w:hAnsi="Arial" w:cs="Arial"/>
          <w:color w:val="231F20"/>
          <w:sz w:val="20"/>
          <w:szCs w:val="20"/>
        </w:rPr>
        <w:t>Pub.</w:t>
      </w:r>
      <w:r w:rsidRPr="004F5AFB">
        <w:rPr>
          <w:rFonts w:ascii="Arial" w:hAnsi="Arial" w:cs="Arial"/>
          <w:color w:val="231F20"/>
          <w:spacing w:val="-4"/>
          <w:sz w:val="20"/>
          <w:szCs w:val="20"/>
        </w:rPr>
        <w:t xml:space="preserve"> </w:t>
      </w:r>
      <w:r w:rsidRPr="004F5AFB">
        <w:rPr>
          <w:rFonts w:ascii="Arial" w:hAnsi="Arial" w:cs="Arial"/>
          <w:color w:val="231F20"/>
          <w:sz w:val="20"/>
          <w:szCs w:val="20"/>
        </w:rPr>
        <w:t>L. No. 116-260 (December 27, 2020). ERA 2 was authorized by Title III, Subtitle B, Section 3201 of the American Rescue Plan Act (ARPA), 2021, Pub. L. No. 117-2 (March 11, 2021). Both ERA 1 and ERA 2 funding is defined as “other financial assistance” per 2 CFR Part 200.1 and both</w:t>
      </w:r>
      <w:r w:rsidRPr="004F5AFB">
        <w:rPr>
          <w:rFonts w:ascii="Arial" w:hAnsi="Arial" w:cs="Arial"/>
          <w:color w:val="231F20"/>
          <w:spacing w:val="-4"/>
          <w:sz w:val="20"/>
          <w:szCs w:val="20"/>
        </w:rPr>
        <w:t xml:space="preserve"> </w:t>
      </w:r>
      <w:r w:rsidRPr="004F5AFB">
        <w:rPr>
          <w:rFonts w:ascii="Arial" w:hAnsi="Arial" w:cs="Arial"/>
          <w:color w:val="231F20"/>
          <w:sz w:val="20"/>
          <w:szCs w:val="20"/>
        </w:rPr>
        <w:t>ERA</w:t>
      </w:r>
      <w:r w:rsidRPr="004F5AFB">
        <w:rPr>
          <w:rFonts w:ascii="Arial" w:hAnsi="Arial" w:cs="Arial"/>
          <w:color w:val="231F20"/>
          <w:spacing w:val="-3"/>
          <w:sz w:val="20"/>
          <w:szCs w:val="20"/>
        </w:rPr>
        <w:t xml:space="preserve"> </w:t>
      </w:r>
      <w:r w:rsidRPr="004F5AFB">
        <w:rPr>
          <w:rFonts w:ascii="Arial" w:hAnsi="Arial" w:cs="Arial"/>
          <w:color w:val="231F20"/>
          <w:sz w:val="20"/>
          <w:szCs w:val="20"/>
        </w:rPr>
        <w:t>1</w:t>
      </w:r>
      <w:r w:rsidRPr="004F5AFB">
        <w:rPr>
          <w:rFonts w:ascii="Arial" w:hAnsi="Arial" w:cs="Arial"/>
          <w:color w:val="231F20"/>
          <w:spacing w:val="-4"/>
          <w:sz w:val="20"/>
          <w:szCs w:val="20"/>
        </w:rPr>
        <w:t xml:space="preserve"> </w:t>
      </w:r>
      <w:r w:rsidRPr="004F5AFB">
        <w:rPr>
          <w:rFonts w:ascii="Arial" w:hAnsi="Arial" w:cs="Arial"/>
          <w:color w:val="231F20"/>
          <w:sz w:val="20"/>
          <w:szCs w:val="20"/>
        </w:rPr>
        <w:t>and</w:t>
      </w:r>
      <w:r w:rsidRPr="004F5AFB">
        <w:rPr>
          <w:rFonts w:ascii="Arial" w:hAnsi="Arial" w:cs="Arial"/>
          <w:color w:val="231F20"/>
          <w:spacing w:val="-3"/>
          <w:sz w:val="20"/>
          <w:szCs w:val="20"/>
        </w:rPr>
        <w:t xml:space="preserve"> </w:t>
      </w:r>
      <w:r w:rsidRPr="004F5AFB">
        <w:rPr>
          <w:rFonts w:ascii="Arial" w:hAnsi="Arial" w:cs="Arial"/>
          <w:color w:val="231F20"/>
          <w:sz w:val="20"/>
          <w:szCs w:val="20"/>
        </w:rPr>
        <w:t>ERA</w:t>
      </w:r>
      <w:r w:rsidRPr="004F5AFB">
        <w:rPr>
          <w:rFonts w:ascii="Arial" w:hAnsi="Arial" w:cs="Arial"/>
          <w:color w:val="231F20"/>
          <w:spacing w:val="-4"/>
          <w:sz w:val="20"/>
          <w:szCs w:val="20"/>
        </w:rPr>
        <w:t xml:space="preserve"> </w:t>
      </w:r>
      <w:r w:rsidRPr="004F5AFB">
        <w:rPr>
          <w:rFonts w:ascii="Arial" w:hAnsi="Arial" w:cs="Arial"/>
          <w:color w:val="231F20"/>
          <w:sz w:val="20"/>
          <w:szCs w:val="20"/>
        </w:rPr>
        <w:t>2</w:t>
      </w:r>
      <w:r w:rsidRPr="004F5AFB">
        <w:rPr>
          <w:rFonts w:ascii="Arial" w:hAnsi="Arial" w:cs="Arial"/>
          <w:color w:val="231F20"/>
          <w:spacing w:val="-3"/>
          <w:sz w:val="20"/>
          <w:szCs w:val="20"/>
        </w:rPr>
        <w:t xml:space="preserve"> </w:t>
      </w:r>
      <w:r w:rsidRPr="004F5AFB">
        <w:rPr>
          <w:rFonts w:ascii="Arial" w:hAnsi="Arial" w:cs="Arial"/>
          <w:color w:val="231F20"/>
          <w:sz w:val="20"/>
          <w:szCs w:val="20"/>
        </w:rPr>
        <w:t>are</w:t>
      </w:r>
      <w:r w:rsidRPr="004F5AFB">
        <w:rPr>
          <w:rFonts w:ascii="Arial" w:hAnsi="Arial" w:cs="Arial"/>
          <w:color w:val="231F20"/>
          <w:spacing w:val="-4"/>
          <w:sz w:val="20"/>
          <w:szCs w:val="20"/>
        </w:rPr>
        <w:t xml:space="preserve"> </w:t>
      </w:r>
      <w:r w:rsidRPr="004F5AFB">
        <w:rPr>
          <w:rFonts w:ascii="Arial" w:hAnsi="Arial" w:cs="Arial"/>
          <w:color w:val="231F20"/>
          <w:sz w:val="20"/>
          <w:szCs w:val="20"/>
        </w:rPr>
        <w:t>administered</w:t>
      </w:r>
      <w:r w:rsidRPr="004F5AFB">
        <w:rPr>
          <w:rFonts w:ascii="Arial" w:hAnsi="Arial" w:cs="Arial"/>
          <w:color w:val="231F20"/>
          <w:spacing w:val="-2"/>
          <w:sz w:val="20"/>
          <w:szCs w:val="20"/>
        </w:rPr>
        <w:t xml:space="preserve"> </w:t>
      </w:r>
      <w:r w:rsidRPr="004F5AFB">
        <w:rPr>
          <w:rFonts w:ascii="Arial" w:hAnsi="Arial" w:cs="Arial"/>
          <w:color w:val="231F20"/>
          <w:sz w:val="20"/>
          <w:szCs w:val="20"/>
        </w:rPr>
        <w:t>by</w:t>
      </w:r>
      <w:r w:rsidRPr="004F5AFB">
        <w:rPr>
          <w:rFonts w:ascii="Arial" w:hAnsi="Arial" w:cs="Arial"/>
          <w:color w:val="231F20"/>
          <w:spacing w:val="-3"/>
          <w:sz w:val="20"/>
          <w:szCs w:val="20"/>
        </w:rPr>
        <w:t xml:space="preserve"> </w:t>
      </w:r>
      <w:r w:rsidRPr="004F5AFB">
        <w:rPr>
          <w:rFonts w:ascii="Arial" w:hAnsi="Arial" w:cs="Arial"/>
          <w:color w:val="231F20"/>
          <w:sz w:val="20"/>
          <w:szCs w:val="20"/>
        </w:rPr>
        <w:t>Treasury</w:t>
      </w:r>
      <w:r w:rsidRPr="004F5AFB">
        <w:rPr>
          <w:rFonts w:ascii="Arial" w:hAnsi="Arial" w:cs="Arial"/>
          <w:color w:val="231F20"/>
          <w:spacing w:val="-2"/>
          <w:sz w:val="20"/>
          <w:szCs w:val="20"/>
        </w:rPr>
        <w:t xml:space="preserve"> </w:t>
      </w:r>
      <w:r w:rsidRPr="004F5AFB">
        <w:rPr>
          <w:rFonts w:ascii="Arial" w:hAnsi="Arial" w:cs="Arial"/>
          <w:color w:val="231F20"/>
          <w:sz w:val="20"/>
          <w:szCs w:val="20"/>
        </w:rPr>
        <w:t>as</w:t>
      </w:r>
      <w:r w:rsidRPr="004F5AFB">
        <w:rPr>
          <w:rFonts w:ascii="Arial" w:hAnsi="Arial" w:cs="Arial"/>
          <w:color w:val="231F20"/>
          <w:spacing w:val="-3"/>
          <w:sz w:val="20"/>
          <w:szCs w:val="20"/>
        </w:rPr>
        <w:t xml:space="preserve"> </w:t>
      </w:r>
      <w:r w:rsidRPr="004F5AFB">
        <w:rPr>
          <w:rFonts w:ascii="Arial" w:hAnsi="Arial" w:cs="Arial"/>
          <w:color w:val="231F20"/>
          <w:sz w:val="20"/>
          <w:szCs w:val="20"/>
        </w:rPr>
        <w:t>direct</w:t>
      </w:r>
      <w:r w:rsidRPr="004F5AFB">
        <w:rPr>
          <w:rFonts w:ascii="Arial" w:hAnsi="Arial" w:cs="Arial"/>
          <w:color w:val="231F20"/>
          <w:spacing w:val="-2"/>
          <w:sz w:val="20"/>
          <w:szCs w:val="20"/>
        </w:rPr>
        <w:t xml:space="preserve"> </w:t>
      </w:r>
      <w:r w:rsidRPr="004F5AFB">
        <w:rPr>
          <w:rFonts w:ascii="Arial" w:hAnsi="Arial" w:cs="Arial"/>
          <w:color w:val="231F20"/>
          <w:sz w:val="20"/>
          <w:szCs w:val="20"/>
        </w:rPr>
        <w:t>payments</w:t>
      </w:r>
      <w:r w:rsidRPr="004F5AFB">
        <w:rPr>
          <w:rFonts w:ascii="Arial" w:hAnsi="Arial" w:cs="Arial"/>
          <w:color w:val="231F20"/>
          <w:spacing w:val="-3"/>
          <w:sz w:val="20"/>
          <w:szCs w:val="20"/>
        </w:rPr>
        <w:t xml:space="preserve"> </w:t>
      </w:r>
      <w:r w:rsidRPr="004F5AFB">
        <w:rPr>
          <w:rFonts w:ascii="Arial" w:hAnsi="Arial" w:cs="Arial"/>
          <w:color w:val="231F20"/>
          <w:sz w:val="20"/>
          <w:szCs w:val="20"/>
        </w:rPr>
        <w:t>for</w:t>
      </w:r>
      <w:r w:rsidRPr="004F5AFB">
        <w:rPr>
          <w:rFonts w:ascii="Arial" w:hAnsi="Arial" w:cs="Arial"/>
          <w:color w:val="231F20"/>
          <w:spacing w:val="-2"/>
          <w:sz w:val="20"/>
          <w:szCs w:val="20"/>
        </w:rPr>
        <w:t xml:space="preserve"> </w:t>
      </w:r>
      <w:r w:rsidRPr="004F5AFB">
        <w:rPr>
          <w:rFonts w:ascii="Arial" w:hAnsi="Arial" w:cs="Arial"/>
          <w:color w:val="231F20"/>
          <w:sz w:val="20"/>
          <w:szCs w:val="20"/>
        </w:rPr>
        <w:t>specified</w:t>
      </w:r>
      <w:r w:rsidRPr="004F5AFB">
        <w:rPr>
          <w:rFonts w:ascii="Arial" w:hAnsi="Arial" w:cs="Arial"/>
          <w:color w:val="231F20"/>
          <w:spacing w:val="-4"/>
          <w:sz w:val="20"/>
          <w:szCs w:val="20"/>
        </w:rPr>
        <w:t xml:space="preserve"> </w:t>
      </w:r>
      <w:r w:rsidRPr="004F5AFB">
        <w:rPr>
          <w:rFonts w:ascii="Arial" w:hAnsi="Arial" w:cs="Arial"/>
          <w:color w:val="231F20"/>
          <w:sz w:val="20"/>
          <w:szCs w:val="20"/>
        </w:rPr>
        <w:t>use.</w:t>
      </w:r>
    </w:p>
    <w:p w14:paraId="2ED3F06D" w14:textId="77777777" w:rsidR="002D2E45" w:rsidRPr="004F5AFB" w:rsidRDefault="002D2E45" w:rsidP="00720609">
      <w:pPr>
        <w:pStyle w:val="BodyText"/>
        <w:jc w:val="both"/>
        <w:rPr>
          <w:rFonts w:ascii="Arial" w:hAnsi="Arial" w:cs="Arial"/>
          <w:sz w:val="20"/>
          <w:szCs w:val="20"/>
        </w:rPr>
      </w:pPr>
      <w:r w:rsidRPr="004F5AFB">
        <w:rPr>
          <w:rFonts w:ascii="Arial" w:hAnsi="Arial" w:cs="Arial"/>
          <w:color w:val="231F20"/>
          <w:sz w:val="20"/>
          <w:szCs w:val="20"/>
        </w:rPr>
        <w:t>The purpose of ERA is to provide direct payments to eligible entities to assist eligible households with financial assistance and to provide housing stability services and, in the case of ERA 2 as applicable, to cover the costs for other affordable rental housing and eviction prevention activities. ERA grantees may provide assistance directly to eligible landlords and utility providers on behalf of an eligible household or directly to an eligible household (see section 501(c)(2)(C)(i) of the Consolidated Appropriations Act, 2021 and FAQ 12 for more detail on landlords and utility provider participation in the program). Financial assistance for eligible households may include payment of rent, rental arrears, utilities and home energy costs, utilities</w:t>
      </w:r>
      <w:r w:rsidRPr="004F5AFB">
        <w:rPr>
          <w:rFonts w:ascii="Arial" w:hAnsi="Arial" w:cs="Arial"/>
          <w:color w:val="231F20"/>
          <w:spacing w:val="-4"/>
          <w:sz w:val="20"/>
          <w:szCs w:val="20"/>
        </w:rPr>
        <w:t xml:space="preserve"> </w:t>
      </w:r>
      <w:r w:rsidRPr="004F5AFB">
        <w:rPr>
          <w:rFonts w:ascii="Arial" w:hAnsi="Arial" w:cs="Arial"/>
          <w:color w:val="231F20"/>
          <w:sz w:val="20"/>
          <w:szCs w:val="20"/>
        </w:rPr>
        <w:t>and</w:t>
      </w:r>
      <w:r w:rsidRPr="004F5AFB">
        <w:rPr>
          <w:rFonts w:ascii="Arial" w:hAnsi="Arial" w:cs="Arial"/>
          <w:color w:val="231F20"/>
          <w:spacing w:val="-4"/>
          <w:sz w:val="20"/>
          <w:szCs w:val="20"/>
        </w:rPr>
        <w:t xml:space="preserve"> </w:t>
      </w:r>
      <w:r w:rsidRPr="004F5AFB">
        <w:rPr>
          <w:rFonts w:ascii="Arial" w:hAnsi="Arial" w:cs="Arial"/>
          <w:color w:val="231F20"/>
          <w:sz w:val="20"/>
          <w:szCs w:val="20"/>
        </w:rPr>
        <w:t>home</w:t>
      </w:r>
      <w:r w:rsidRPr="004F5AFB">
        <w:rPr>
          <w:rFonts w:ascii="Arial" w:hAnsi="Arial" w:cs="Arial"/>
          <w:color w:val="231F20"/>
          <w:spacing w:val="-3"/>
          <w:sz w:val="20"/>
          <w:szCs w:val="20"/>
        </w:rPr>
        <w:t xml:space="preserve"> </w:t>
      </w:r>
      <w:r w:rsidRPr="004F5AFB">
        <w:rPr>
          <w:rFonts w:ascii="Arial" w:hAnsi="Arial" w:cs="Arial"/>
          <w:color w:val="231F20"/>
          <w:sz w:val="20"/>
          <w:szCs w:val="20"/>
        </w:rPr>
        <w:t>energy</w:t>
      </w:r>
      <w:r w:rsidRPr="004F5AFB">
        <w:rPr>
          <w:rFonts w:ascii="Arial" w:hAnsi="Arial" w:cs="Arial"/>
          <w:color w:val="231F20"/>
          <w:spacing w:val="-1"/>
          <w:sz w:val="20"/>
          <w:szCs w:val="20"/>
        </w:rPr>
        <w:t xml:space="preserve"> </w:t>
      </w:r>
      <w:r w:rsidRPr="004F5AFB">
        <w:rPr>
          <w:rFonts w:ascii="Arial" w:hAnsi="Arial" w:cs="Arial"/>
          <w:color w:val="231F20"/>
          <w:sz w:val="20"/>
          <w:szCs w:val="20"/>
        </w:rPr>
        <w:t>costs</w:t>
      </w:r>
      <w:r w:rsidRPr="004F5AFB">
        <w:rPr>
          <w:rFonts w:ascii="Arial" w:hAnsi="Arial" w:cs="Arial"/>
          <w:color w:val="231F20"/>
          <w:spacing w:val="-4"/>
          <w:sz w:val="20"/>
          <w:szCs w:val="20"/>
        </w:rPr>
        <w:t xml:space="preserve"> </w:t>
      </w:r>
      <w:r w:rsidRPr="004F5AFB">
        <w:rPr>
          <w:rFonts w:ascii="Arial" w:hAnsi="Arial" w:cs="Arial"/>
          <w:color w:val="231F20"/>
          <w:sz w:val="20"/>
          <w:szCs w:val="20"/>
        </w:rPr>
        <w:t>arrears,</w:t>
      </w:r>
      <w:r w:rsidRPr="004F5AFB">
        <w:rPr>
          <w:rFonts w:ascii="Arial" w:hAnsi="Arial" w:cs="Arial"/>
          <w:color w:val="231F20"/>
          <w:spacing w:val="-3"/>
          <w:sz w:val="20"/>
          <w:szCs w:val="20"/>
        </w:rPr>
        <w:t xml:space="preserve"> </w:t>
      </w:r>
      <w:r w:rsidRPr="004F5AFB">
        <w:rPr>
          <w:rFonts w:ascii="Arial" w:hAnsi="Arial" w:cs="Arial"/>
          <w:color w:val="231F20"/>
          <w:sz w:val="20"/>
          <w:szCs w:val="20"/>
        </w:rPr>
        <w:t>and</w:t>
      </w:r>
      <w:r w:rsidRPr="004F5AFB">
        <w:rPr>
          <w:rFonts w:ascii="Arial" w:hAnsi="Arial" w:cs="Arial"/>
          <w:color w:val="231F20"/>
          <w:spacing w:val="-4"/>
          <w:sz w:val="20"/>
          <w:szCs w:val="20"/>
        </w:rPr>
        <w:t xml:space="preserve"> </w:t>
      </w:r>
      <w:r w:rsidRPr="004F5AFB">
        <w:rPr>
          <w:rFonts w:ascii="Arial" w:hAnsi="Arial" w:cs="Arial"/>
          <w:color w:val="231F20"/>
          <w:sz w:val="20"/>
          <w:szCs w:val="20"/>
        </w:rPr>
        <w:t>other</w:t>
      </w:r>
      <w:r w:rsidRPr="004F5AFB">
        <w:rPr>
          <w:rFonts w:ascii="Arial" w:hAnsi="Arial" w:cs="Arial"/>
          <w:color w:val="231F20"/>
          <w:spacing w:val="-5"/>
          <w:sz w:val="20"/>
          <w:szCs w:val="20"/>
        </w:rPr>
        <w:t xml:space="preserve"> </w:t>
      </w:r>
      <w:r w:rsidRPr="004F5AFB">
        <w:rPr>
          <w:rFonts w:ascii="Arial" w:hAnsi="Arial" w:cs="Arial"/>
          <w:color w:val="231F20"/>
          <w:sz w:val="20"/>
          <w:szCs w:val="20"/>
        </w:rPr>
        <w:t>expenses</w:t>
      </w:r>
      <w:r w:rsidRPr="004F5AFB">
        <w:rPr>
          <w:rFonts w:ascii="Arial" w:hAnsi="Arial" w:cs="Arial"/>
          <w:color w:val="231F20"/>
          <w:spacing w:val="-2"/>
          <w:sz w:val="20"/>
          <w:szCs w:val="20"/>
        </w:rPr>
        <w:t xml:space="preserve"> </w:t>
      </w:r>
      <w:r w:rsidRPr="004F5AFB">
        <w:rPr>
          <w:rFonts w:ascii="Arial" w:hAnsi="Arial" w:cs="Arial"/>
          <w:color w:val="231F20"/>
          <w:sz w:val="20"/>
          <w:szCs w:val="20"/>
        </w:rPr>
        <w:t>related</w:t>
      </w:r>
      <w:r w:rsidRPr="004F5AFB">
        <w:rPr>
          <w:rFonts w:ascii="Arial" w:hAnsi="Arial" w:cs="Arial"/>
          <w:color w:val="231F20"/>
          <w:spacing w:val="-3"/>
          <w:sz w:val="20"/>
          <w:szCs w:val="20"/>
        </w:rPr>
        <w:t xml:space="preserve"> </w:t>
      </w:r>
      <w:r w:rsidRPr="004F5AFB">
        <w:rPr>
          <w:rFonts w:ascii="Arial" w:hAnsi="Arial" w:cs="Arial"/>
          <w:color w:val="231F20"/>
          <w:sz w:val="20"/>
          <w:szCs w:val="20"/>
        </w:rPr>
        <w:t>to</w:t>
      </w:r>
      <w:r w:rsidRPr="004F5AFB">
        <w:rPr>
          <w:rFonts w:ascii="Arial" w:hAnsi="Arial" w:cs="Arial"/>
          <w:color w:val="231F20"/>
          <w:spacing w:val="-3"/>
          <w:sz w:val="20"/>
          <w:szCs w:val="20"/>
        </w:rPr>
        <w:t xml:space="preserve"> </w:t>
      </w:r>
      <w:r w:rsidRPr="004F5AFB">
        <w:rPr>
          <w:rFonts w:ascii="Arial" w:hAnsi="Arial" w:cs="Arial"/>
          <w:color w:val="231F20"/>
          <w:sz w:val="20"/>
          <w:szCs w:val="20"/>
        </w:rPr>
        <w:t>housing.</w:t>
      </w:r>
      <w:r w:rsidRPr="004F5AFB">
        <w:rPr>
          <w:rFonts w:ascii="Arial" w:hAnsi="Arial" w:cs="Arial"/>
          <w:color w:val="231F20"/>
          <w:spacing w:val="-2"/>
          <w:sz w:val="20"/>
          <w:szCs w:val="20"/>
        </w:rPr>
        <w:t xml:space="preserve"> </w:t>
      </w:r>
      <w:r w:rsidRPr="004F5AFB">
        <w:rPr>
          <w:rFonts w:ascii="Arial" w:hAnsi="Arial" w:cs="Arial"/>
          <w:color w:val="231F20"/>
          <w:sz w:val="20"/>
          <w:szCs w:val="20"/>
        </w:rPr>
        <w:t>ERA</w:t>
      </w:r>
      <w:r w:rsidRPr="004F5AFB">
        <w:rPr>
          <w:rFonts w:ascii="Arial" w:hAnsi="Arial" w:cs="Arial"/>
          <w:color w:val="231F20"/>
          <w:spacing w:val="-5"/>
          <w:sz w:val="20"/>
          <w:szCs w:val="20"/>
        </w:rPr>
        <w:t xml:space="preserve"> </w:t>
      </w:r>
      <w:r w:rsidRPr="004F5AFB">
        <w:rPr>
          <w:rFonts w:ascii="Arial" w:hAnsi="Arial" w:cs="Arial"/>
          <w:color w:val="231F20"/>
          <w:sz w:val="20"/>
          <w:szCs w:val="20"/>
        </w:rPr>
        <w:t>grantees</w:t>
      </w:r>
      <w:r w:rsidRPr="004F5AFB">
        <w:rPr>
          <w:rFonts w:ascii="Arial" w:hAnsi="Arial" w:cs="Arial"/>
          <w:color w:val="231F20"/>
          <w:spacing w:val="-2"/>
          <w:sz w:val="20"/>
          <w:szCs w:val="20"/>
        </w:rPr>
        <w:t xml:space="preserve"> </w:t>
      </w:r>
      <w:r w:rsidRPr="004F5AFB">
        <w:rPr>
          <w:rFonts w:ascii="Arial" w:hAnsi="Arial" w:cs="Arial"/>
          <w:color w:val="231F20"/>
          <w:sz w:val="20"/>
          <w:szCs w:val="20"/>
        </w:rPr>
        <w:t>may also use funds to provide housing stability services as authorized by the respective</w:t>
      </w:r>
      <w:r w:rsidRPr="004F5AFB">
        <w:rPr>
          <w:rFonts w:ascii="Arial" w:hAnsi="Arial" w:cs="Arial"/>
          <w:color w:val="231F20"/>
          <w:spacing w:val="-29"/>
          <w:sz w:val="20"/>
          <w:szCs w:val="20"/>
        </w:rPr>
        <w:t xml:space="preserve"> </w:t>
      </w:r>
      <w:r w:rsidRPr="004F5AFB">
        <w:rPr>
          <w:rFonts w:ascii="Arial" w:hAnsi="Arial" w:cs="Arial"/>
          <w:color w:val="231F20"/>
          <w:sz w:val="20"/>
          <w:szCs w:val="20"/>
        </w:rPr>
        <w:t>statutes.</w:t>
      </w:r>
    </w:p>
    <w:p w14:paraId="27A28DF7" w14:textId="229E4D32" w:rsidR="009656BB" w:rsidRPr="00F00D94" w:rsidRDefault="002D2E45" w:rsidP="006672EA">
      <w:pPr>
        <w:spacing w:after="240"/>
        <w:jc w:val="both"/>
        <w:rPr>
          <w:rFonts w:ascii="Arial" w:hAnsi="Arial" w:cs="Arial"/>
          <w:bCs/>
          <w:sz w:val="20"/>
        </w:rPr>
      </w:pPr>
      <w:r w:rsidRPr="00BC7F42">
        <w:rPr>
          <w:rFonts w:ascii="Arial" w:hAnsi="Arial" w:cs="Arial"/>
          <w:bCs/>
          <w:i/>
          <w:sz w:val="20"/>
        </w:rPr>
        <w:t xml:space="preserve">(Source: </w:t>
      </w:r>
      <w:r>
        <w:rPr>
          <w:rFonts w:ascii="Arial" w:hAnsi="Arial" w:cs="Arial"/>
          <w:bCs/>
          <w:i/>
          <w:sz w:val="20"/>
        </w:rPr>
        <w:t>2022 OMB Compliance Supplement, Part 4, Treasury, Emergency Rental Assistance Program)</w:t>
      </w:r>
    </w:p>
    <w:p w14:paraId="222D14D9" w14:textId="77777777" w:rsidR="009656BB" w:rsidRPr="00F00D94" w:rsidRDefault="009656BB" w:rsidP="006672EA">
      <w:pPr>
        <w:pStyle w:val="Heading3"/>
        <w:jc w:val="both"/>
        <w:rPr>
          <w:rFonts w:cs="Arial"/>
        </w:rPr>
      </w:pPr>
      <w:bookmarkStart w:id="11" w:name="_Toc116458406"/>
      <w:r w:rsidRPr="00F00D94">
        <w:rPr>
          <w:rFonts w:cs="Arial"/>
        </w:rPr>
        <w:t>II. Program Procedures</w:t>
      </w:r>
      <w:bookmarkEnd w:id="11"/>
    </w:p>
    <w:p w14:paraId="79FBD191" w14:textId="77777777" w:rsidR="00DC0D4D" w:rsidRPr="00DC0D4D" w:rsidRDefault="00DC0D4D" w:rsidP="00DC0D4D">
      <w:pPr>
        <w:spacing w:after="240"/>
        <w:jc w:val="both"/>
        <w:rPr>
          <w:rFonts w:ascii="Arial" w:hAnsi="Arial" w:cs="Arial"/>
          <w:b/>
          <w:bCs/>
          <w:sz w:val="20"/>
        </w:rPr>
      </w:pPr>
      <w:r w:rsidRPr="00DC0D4D">
        <w:rPr>
          <w:rFonts w:ascii="Arial" w:hAnsi="Arial" w:cs="Arial"/>
          <w:b/>
          <w:bCs/>
          <w:sz w:val="20"/>
        </w:rPr>
        <w:t>A.</w:t>
      </w:r>
      <w:r w:rsidRPr="00DC0D4D">
        <w:rPr>
          <w:rFonts w:ascii="Arial" w:hAnsi="Arial" w:cs="Arial"/>
          <w:b/>
          <w:bCs/>
          <w:sz w:val="20"/>
        </w:rPr>
        <w:tab/>
        <w:t>Overview</w:t>
      </w:r>
    </w:p>
    <w:p w14:paraId="3ECAE4B5" w14:textId="77777777" w:rsidR="00DC0D4D" w:rsidRPr="00DC0D4D" w:rsidRDefault="00DC0D4D" w:rsidP="00DC0D4D">
      <w:pPr>
        <w:spacing w:after="240"/>
        <w:ind w:left="720"/>
        <w:jc w:val="both"/>
        <w:rPr>
          <w:rFonts w:ascii="Arial" w:hAnsi="Arial" w:cs="Arial"/>
          <w:bCs/>
          <w:sz w:val="20"/>
        </w:rPr>
      </w:pPr>
      <w:r w:rsidRPr="00DC0D4D">
        <w:rPr>
          <w:rFonts w:ascii="Arial" w:hAnsi="Arial" w:cs="Arial"/>
          <w:bCs/>
          <w:sz w:val="20"/>
        </w:rPr>
        <w:t>ERA 1 provided $25 billion for the US Department of the Treasury (Treasury) to make payments to States (defined to include the District of Columbia), US territories (Puerto Rico, US Virgin Islands, Guam, Northern Mariana Islands, and American Samoa), Indian tribes or their tribally designated housing entities, as applicable, the Department of Hawaiian Home Lands, and certain local governments with more than 200,000 residents. These entities are collectively referred to as “eligible grantees” or “ERA 1 grantees.” ERA 1 award funds may be used to provide financial assistance and housing stability services to eligible households. All ERA 1 grantees that submitted the requested documentation to Treasury and executed a financial assistance agreement received their total ERA 1 award funds in one payment.</w:t>
      </w:r>
    </w:p>
    <w:p w14:paraId="08B4D012" w14:textId="77777777" w:rsidR="00DC0D4D" w:rsidRPr="00DC0D4D" w:rsidRDefault="00DC0D4D" w:rsidP="00DC0D4D">
      <w:pPr>
        <w:spacing w:after="240"/>
        <w:ind w:left="720"/>
        <w:jc w:val="both"/>
        <w:rPr>
          <w:rFonts w:ascii="Arial" w:hAnsi="Arial" w:cs="Arial"/>
          <w:bCs/>
          <w:sz w:val="20"/>
        </w:rPr>
      </w:pPr>
      <w:r w:rsidRPr="00DC0D4D">
        <w:rPr>
          <w:rFonts w:ascii="Arial" w:hAnsi="Arial" w:cs="Arial"/>
          <w:bCs/>
          <w:sz w:val="20"/>
        </w:rPr>
        <w:t>ERA 2 provided $21.55 billion for Treasury to make payments to States (defined to include the District of Columbia), US Territories (Puerto Rico, US Virgin Islands, Guam, Northern Mariana Islands, and American Samoa), and local governments with more than 200,000 residents. These entities are collectively referred to as “eligible grantees” or “ERA 2 grantees.” ERA 2 award funds may be used to assist eligible households with financial assistance and to provide housing stability services and, as applicable, to cover the costs for other affordable rental housing and eviction prevention activities.</w:t>
      </w:r>
    </w:p>
    <w:p w14:paraId="3B0ED79C" w14:textId="77777777" w:rsidR="00DC0D4D" w:rsidRPr="00DC0D4D" w:rsidRDefault="00DC0D4D" w:rsidP="00DC0D4D">
      <w:pPr>
        <w:spacing w:after="240"/>
        <w:ind w:left="720"/>
        <w:jc w:val="both"/>
        <w:rPr>
          <w:rFonts w:ascii="Arial" w:hAnsi="Arial" w:cs="Arial"/>
          <w:bCs/>
          <w:sz w:val="20"/>
        </w:rPr>
      </w:pPr>
      <w:r w:rsidRPr="00DC0D4D">
        <w:rPr>
          <w:rFonts w:ascii="Arial" w:hAnsi="Arial" w:cs="Arial"/>
          <w:bCs/>
          <w:sz w:val="20"/>
        </w:rPr>
        <w:t xml:space="preserve">Pursuant to section 3201(c)(1) of ARPA, Treasury made initial payments of 40 percent of an eligible grantee’s total award amount to the each grantees under ERA 2 that submitted the required documentation and executed the financial assistance agreement. Through February 2022, Treasury made payments of the remaining 60 percent of ERA 2 grantees’ award funds after they </w:t>
      </w:r>
      <w:r w:rsidRPr="00DC0D4D">
        <w:rPr>
          <w:rFonts w:ascii="Arial" w:hAnsi="Arial" w:cs="Arial"/>
          <w:bCs/>
          <w:sz w:val="20"/>
        </w:rPr>
        <w:lastRenderedPageBreak/>
        <w:t>certified that at least 75 percent of the initial ERA 2 payment has been obligated pursuant to section 3201(c)(2) of ARPA. Beginning in February 2022, Treasury altered its ERA 2 payment tranche policy to allow grantees to receive the remainder of their ERA 2 award funds in two payments (half of the remaining balance, followed by the remaining balance), subject to potential reductions resulting from the implementation of a statutory reallocation requirement.</w:t>
      </w:r>
    </w:p>
    <w:p w14:paraId="146412F9" w14:textId="736E4A05" w:rsidR="00DC0D4D" w:rsidRPr="00DC0D4D" w:rsidRDefault="00DC0D4D" w:rsidP="00DC0D4D">
      <w:pPr>
        <w:spacing w:after="240"/>
        <w:ind w:left="720"/>
        <w:jc w:val="both"/>
        <w:rPr>
          <w:rFonts w:ascii="Arial" w:hAnsi="Arial" w:cs="Arial"/>
          <w:bCs/>
          <w:sz w:val="20"/>
        </w:rPr>
      </w:pPr>
      <w:r w:rsidRPr="00DC0D4D">
        <w:rPr>
          <w:rFonts w:ascii="Arial" w:hAnsi="Arial" w:cs="Arial"/>
          <w:bCs/>
          <w:sz w:val="20"/>
        </w:rPr>
        <w:t xml:space="preserve">Additional information on statutory differences between ERA 1 and ERA 2 are described in the Emergency Rental Assistance Frequently Asked Questions (FAQs) posted </w:t>
      </w:r>
      <w:hyperlink r:id="rId20" w:history="1">
        <w:r w:rsidRPr="00F34B5D">
          <w:rPr>
            <w:rStyle w:val="Hyperlink"/>
            <w:rFonts w:ascii="Arial" w:hAnsi="Arial" w:cs="Arial"/>
            <w:bCs/>
            <w:sz w:val="20"/>
          </w:rPr>
          <w:t>h</w:t>
        </w:r>
        <w:r w:rsidRPr="00F34B5D">
          <w:rPr>
            <w:rStyle w:val="Hyperlink"/>
            <w:rFonts w:ascii="Arial" w:hAnsi="Arial" w:cs="Arial"/>
            <w:bCs/>
            <w:sz w:val="20"/>
          </w:rPr>
          <w:t>e</w:t>
        </w:r>
        <w:r w:rsidRPr="00F34B5D">
          <w:rPr>
            <w:rStyle w:val="Hyperlink"/>
            <w:rFonts w:ascii="Arial" w:hAnsi="Arial" w:cs="Arial"/>
            <w:bCs/>
            <w:sz w:val="20"/>
          </w:rPr>
          <w:t>re</w:t>
        </w:r>
      </w:hyperlink>
      <w:r w:rsidRPr="00DC0D4D">
        <w:rPr>
          <w:rFonts w:ascii="Arial" w:hAnsi="Arial" w:cs="Arial"/>
          <w:bCs/>
          <w:sz w:val="20"/>
        </w:rPr>
        <w:t>.</w:t>
      </w:r>
    </w:p>
    <w:p w14:paraId="368593B0" w14:textId="4B647FB9" w:rsidR="001A2761" w:rsidRPr="00F00D94" w:rsidRDefault="00DC0D4D" w:rsidP="00DC0D4D">
      <w:pPr>
        <w:spacing w:after="240"/>
        <w:ind w:left="720"/>
        <w:jc w:val="both"/>
        <w:rPr>
          <w:rFonts w:ascii="Arial" w:hAnsi="Arial" w:cs="Arial"/>
          <w:bCs/>
          <w:sz w:val="20"/>
        </w:rPr>
      </w:pPr>
      <w:r w:rsidRPr="00DC0D4D">
        <w:rPr>
          <w:rFonts w:ascii="Arial" w:hAnsi="Arial" w:cs="Arial"/>
          <w:bCs/>
          <w:sz w:val="20"/>
        </w:rPr>
        <w:t xml:space="preserve">Section 501(b)(1)(A) of the Consolidated Appropriation Act, 2021 directs Treasury to use US Census Bureau data for the most recent year for which data is available for population calculations for determining the populations of state and local governments. Funds are distributed via a per capita formula allocation detailed on Treasury.gov that considers the minimum allocation of $200 million for states and the District of Columbia. Allocation amounts can be found via the following link: </w:t>
      </w:r>
      <w:hyperlink r:id="rId21" w:history="1">
        <w:r w:rsidR="00B013E4">
          <w:rPr>
            <w:rStyle w:val="Hyperlink"/>
            <w:rFonts w:ascii="Arial" w:hAnsi="Arial" w:cs="Arial"/>
            <w:bCs/>
            <w:sz w:val="20"/>
          </w:rPr>
          <w:t>https://home.treasury.gov/policy-issues/coronavirus/assistance-for-state-local-and-tribal-governments/emergency-re</w:t>
        </w:r>
        <w:r w:rsidR="00B013E4">
          <w:rPr>
            <w:rStyle w:val="Hyperlink"/>
            <w:rFonts w:ascii="Arial" w:hAnsi="Arial" w:cs="Arial"/>
            <w:bCs/>
            <w:sz w:val="20"/>
          </w:rPr>
          <w:t>n</w:t>
        </w:r>
        <w:r w:rsidR="00B013E4">
          <w:rPr>
            <w:rStyle w:val="Hyperlink"/>
            <w:rFonts w:ascii="Arial" w:hAnsi="Arial" w:cs="Arial"/>
            <w:bCs/>
            <w:sz w:val="20"/>
          </w:rPr>
          <w:t>tal-assistance-program/allocations-and-payments</w:t>
        </w:r>
      </w:hyperlink>
      <w:r w:rsidRPr="00DC0D4D">
        <w:rPr>
          <w:rFonts w:ascii="Arial" w:hAnsi="Arial" w:cs="Arial"/>
          <w:bCs/>
          <w:sz w:val="20"/>
        </w:rPr>
        <w:t>.</w:t>
      </w:r>
    </w:p>
    <w:p w14:paraId="3D7F8C06" w14:textId="7D06C7A3" w:rsidR="009656BB" w:rsidRPr="00F00D94" w:rsidRDefault="00DC0D4D" w:rsidP="00740C6F">
      <w:pPr>
        <w:spacing w:after="240"/>
        <w:jc w:val="both"/>
        <w:rPr>
          <w:rFonts w:ascii="Arial" w:hAnsi="Arial" w:cs="Arial"/>
          <w:bCs/>
          <w:sz w:val="20"/>
        </w:rPr>
      </w:pPr>
      <w:r w:rsidRPr="00BC7F42">
        <w:rPr>
          <w:rFonts w:ascii="Arial" w:hAnsi="Arial" w:cs="Arial"/>
          <w:bCs/>
          <w:i/>
          <w:sz w:val="20"/>
        </w:rPr>
        <w:t xml:space="preserve">(Source: </w:t>
      </w:r>
      <w:r>
        <w:rPr>
          <w:rFonts w:ascii="Arial" w:hAnsi="Arial" w:cs="Arial"/>
          <w:bCs/>
          <w:i/>
          <w:sz w:val="20"/>
        </w:rPr>
        <w:t>2022 OMB Compliance Supplement, Part 4, Treasury, Emergency Rental Assistance Program)</w:t>
      </w:r>
    </w:p>
    <w:p w14:paraId="612B87C9" w14:textId="77777777" w:rsidR="009656BB" w:rsidRPr="00F00D94" w:rsidRDefault="009656BB" w:rsidP="006672EA">
      <w:pPr>
        <w:pStyle w:val="Heading3"/>
        <w:jc w:val="both"/>
        <w:rPr>
          <w:rFonts w:cs="Arial"/>
          <w:sz w:val="28"/>
          <w:szCs w:val="28"/>
        </w:rPr>
      </w:pPr>
      <w:bookmarkStart w:id="12" w:name="_Toc116458407"/>
      <w:r w:rsidRPr="00F00D94">
        <w:rPr>
          <w:rFonts w:cs="Arial"/>
        </w:rPr>
        <w:t>III. Source of Governing Requirements</w:t>
      </w:r>
      <w:bookmarkEnd w:id="12"/>
    </w:p>
    <w:p w14:paraId="07456E69" w14:textId="691A96ED" w:rsidR="00A27A5D" w:rsidRPr="00F34B5D" w:rsidRDefault="00A27A5D" w:rsidP="00F34B5D">
      <w:pPr>
        <w:pStyle w:val="ListParagraph"/>
        <w:widowControl w:val="0"/>
        <w:numPr>
          <w:ilvl w:val="0"/>
          <w:numId w:val="46"/>
        </w:numPr>
        <w:tabs>
          <w:tab w:val="left" w:pos="919"/>
          <w:tab w:val="left" w:pos="920"/>
        </w:tabs>
        <w:suppressAutoHyphens w:val="0"/>
        <w:adjustRightInd/>
        <w:spacing w:after="240"/>
        <w:jc w:val="both"/>
        <w:rPr>
          <w:rFonts w:ascii="Arial" w:hAnsi="Arial" w:cs="Arial"/>
          <w:color w:val="231F20"/>
        </w:rPr>
      </w:pPr>
      <w:r w:rsidRPr="00A27A5D">
        <w:rPr>
          <w:rFonts w:ascii="Arial" w:hAnsi="Arial" w:cs="Arial"/>
          <w:color w:val="231F20"/>
        </w:rPr>
        <w:t>Emergency Rental Assistance (“ERA 1”), Division N, Title V, Section 501 of the Consolidated Appropriations Act, 2021, Pub. L. No. 116-260 (December 27, 2020) and codified as 15 USC</w:t>
      </w:r>
      <w:r w:rsidRPr="00A27A5D">
        <w:rPr>
          <w:rFonts w:ascii="Arial" w:hAnsi="Arial" w:cs="Arial"/>
          <w:color w:val="231F20"/>
          <w:spacing w:val="-3"/>
        </w:rPr>
        <w:t xml:space="preserve"> </w:t>
      </w:r>
      <w:r w:rsidRPr="00A27A5D">
        <w:rPr>
          <w:rFonts w:ascii="Arial" w:hAnsi="Arial" w:cs="Arial"/>
          <w:color w:val="231F20"/>
        </w:rPr>
        <w:t>9058a;</w:t>
      </w:r>
    </w:p>
    <w:p w14:paraId="1FE37D1B" w14:textId="3C1CFEB4" w:rsidR="00A27A5D" w:rsidRPr="00F34B5D" w:rsidRDefault="00A27A5D" w:rsidP="00F34B5D">
      <w:pPr>
        <w:pStyle w:val="ListParagraph"/>
        <w:widowControl w:val="0"/>
        <w:numPr>
          <w:ilvl w:val="0"/>
          <w:numId w:val="46"/>
        </w:numPr>
        <w:tabs>
          <w:tab w:val="left" w:pos="919"/>
          <w:tab w:val="left" w:pos="920"/>
        </w:tabs>
        <w:suppressAutoHyphens w:val="0"/>
        <w:adjustRightInd/>
        <w:spacing w:after="240"/>
        <w:jc w:val="both"/>
        <w:rPr>
          <w:rFonts w:ascii="Arial" w:hAnsi="Arial" w:cs="Arial"/>
          <w:color w:val="474749"/>
        </w:rPr>
      </w:pPr>
      <w:r w:rsidRPr="00A27A5D">
        <w:rPr>
          <w:rFonts w:ascii="Arial" w:hAnsi="Arial" w:cs="Arial"/>
          <w:color w:val="231F20"/>
        </w:rPr>
        <w:t>Emergency Rental Assistance (“ERA 2”), Title III, Subtitle B, Section 3201 of the American Rescue Plan Act, 2021, Pub. L. No. 117-2 (March 11, 2021) codified as 15 USC 9058c</w:t>
      </w:r>
      <w:r w:rsidRPr="00A27A5D">
        <w:rPr>
          <w:rFonts w:ascii="Arial" w:hAnsi="Arial" w:cs="Arial"/>
          <w:color w:val="474749"/>
        </w:rPr>
        <w:t>;</w:t>
      </w:r>
    </w:p>
    <w:p w14:paraId="3C55E5A4" w14:textId="3F641BDA" w:rsidR="00A27A5D" w:rsidRPr="00F34B5D" w:rsidRDefault="00A27A5D" w:rsidP="00F34B5D">
      <w:pPr>
        <w:pStyle w:val="ListParagraph"/>
        <w:widowControl w:val="0"/>
        <w:numPr>
          <w:ilvl w:val="0"/>
          <w:numId w:val="46"/>
        </w:numPr>
        <w:tabs>
          <w:tab w:val="left" w:pos="920"/>
        </w:tabs>
        <w:suppressAutoHyphens w:val="0"/>
        <w:adjustRightInd/>
        <w:spacing w:after="240"/>
        <w:jc w:val="both"/>
        <w:rPr>
          <w:rFonts w:ascii="Arial" w:hAnsi="Arial" w:cs="Arial"/>
          <w:color w:val="474749"/>
        </w:rPr>
      </w:pPr>
      <w:r w:rsidRPr="00A27A5D">
        <w:rPr>
          <w:rFonts w:ascii="Arial" w:hAnsi="Arial" w:cs="Arial"/>
          <w:color w:val="474749"/>
        </w:rPr>
        <w:t>Section 15011 of the Coronavirus Aid, Relief, and Economic Security (CARES) Act (Pub. L. No. 116-136), as amended by Title VIII, Section 801(b) of the Consolidated Appropriations Act, 2021 (Pub. L. No. 116-260) on December 27, 2020;</w:t>
      </w:r>
      <w:r w:rsidRPr="00A27A5D">
        <w:rPr>
          <w:rFonts w:ascii="Arial" w:hAnsi="Arial" w:cs="Arial"/>
          <w:color w:val="474749"/>
          <w:spacing w:val="-27"/>
        </w:rPr>
        <w:t xml:space="preserve"> </w:t>
      </w:r>
      <w:r w:rsidRPr="00A27A5D">
        <w:rPr>
          <w:rFonts w:ascii="Arial" w:hAnsi="Arial" w:cs="Arial"/>
          <w:color w:val="474749"/>
        </w:rPr>
        <w:t>and</w:t>
      </w:r>
    </w:p>
    <w:p w14:paraId="03CE7FD9" w14:textId="7E8D5993" w:rsidR="00A27A5D" w:rsidRPr="00F34B5D" w:rsidRDefault="00A27A5D" w:rsidP="00F34B5D">
      <w:pPr>
        <w:pStyle w:val="ListParagraph"/>
        <w:widowControl w:val="0"/>
        <w:numPr>
          <w:ilvl w:val="0"/>
          <w:numId w:val="46"/>
        </w:numPr>
        <w:tabs>
          <w:tab w:val="left" w:pos="919"/>
          <w:tab w:val="left" w:pos="920"/>
        </w:tabs>
        <w:suppressAutoHyphens w:val="0"/>
        <w:adjustRightInd/>
        <w:spacing w:after="240"/>
        <w:jc w:val="both"/>
        <w:rPr>
          <w:rFonts w:ascii="Arial" w:hAnsi="Arial" w:cs="Arial"/>
          <w:color w:val="474749"/>
        </w:rPr>
      </w:pPr>
      <w:r w:rsidRPr="00A27A5D">
        <w:rPr>
          <w:rFonts w:ascii="Arial" w:hAnsi="Arial" w:cs="Arial"/>
          <w:color w:val="474749"/>
        </w:rPr>
        <w:t>Treasury’s Frequently Asked Questions (FAQs) and related guidance available on Treasury.gov, including important version changes over time that can be found on the ERA program</w:t>
      </w:r>
      <w:r w:rsidRPr="00A27A5D">
        <w:rPr>
          <w:rFonts w:ascii="Arial" w:hAnsi="Arial" w:cs="Arial"/>
          <w:color w:val="474749"/>
          <w:spacing w:val="-3"/>
        </w:rPr>
        <w:t xml:space="preserve"> </w:t>
      </w:r>
      <w:r w:rsidRPr="00A27A5D">
        <w:rPr>
          <w:rFonts w:ascii="Arial" w:hAnsi="Arial" w:cs="Arial"/>
          <w:color w:val="474749"/>
        </w:rPr>
        <w:t>website.</w:t>
      </w:r>
    </w:p>
    <w:p w14:paraId="05B90F53" w14:textId="0FB26560" w:rsidR="006F570B" w:rsidRPr="00F00D94" w:rsidRDefault="00A27A5D" w:rsidP="00F34B5D">
      <w:pPr>
        <w:spacing w:after="240"/>
        <w:jc w:val="both"/>
        <w:rPr>
          <w:rFonts w:ascii="Arial" w:hAnsi="Arial" w:cs="Arial"/>
          <w:bCs/>
          <w:sz w:val="20"/>
        </w:rPr>
      </w:pPr>
      <w:r w:rsidRPr="00BC7F42">
        <w:rPr>
          <w:rFonts w:ascii="Arial" w:hAnsi="Arial" w:cs="Arial"/>
          <w:bCs/>
          <w:i/>
          <w:sz w:val="20"/>
        </w:rPr>
        <w:t xml:space="preserve">(Source: </w:t>
      </w:r>
      <w:r>
        <w:rPr>
          <w:rFonts w:ascii="Arial" w:hAnsi="Arial" w:cs="Arial"/>
          <w:bCs/>
          <w:i/>
          <w:sz w:val="20"/>
        </w:rPr>
        <w:t>2022 OMB Compliance Supplement, Part 4, Treasury, Emergency Rental Assistance Program)</w:t>
      </w:r>
    </w:p>
    <w:p w14:paraId="278D98F4" w14:textId="77777777" w:rsidR="006F570B" w:rsidRPr="00F00D94" w:rsidRDefault="00386445" w:rsidP="00F34B5D">
      <w:pPr>
        <w:pStyle w:val="Heading3"/>
        <w:spacing w:line="240" w:lineRule="auto"/>
        <w:jc w:val="both"/>
        <w:rPr>
          <w:rFonts w:cs="Arial"/>
        </w:rPr>
      </w:pPr>
      <w:bookmarkStart w:id="13" w:name="_Toc116458408"/>
      <w:r w:rsidRPr="00F00D94">
        <w:rPr>
          <w:rFonts w:cs="Arial"/>
        </w:rPr>
        <w:t xml:space="preserve">IV. </w:t>
      </w:r>
      <w:r w:rsidR="009C1FCD" w:rsidRPr="00F00D94">
        <w:rPr>
          <w:rFonts w:cs="Arial"/>
        </w:rPr>
        <w:t>Other Information</w:t>
      </w:r>
      <w:bookmarkEnd w:id="13"/>
    </w:p>
    <w:p w14:paraId="5BCCE81A" w14:textId="5EBC5856" w:rsidR="0071121E" w:rsidRPr="0071121E" w:rsidRDefault="0071121E" w:rsidP="00F34B5D">
      <w:pPr>
        <w:pStyle w:val="BodyText"/>
        <w:jc w:val="both"/>
        <w:rPr>
          <w:rFonts w:ascii="Arial" w:hAnsi="Arial" w:cs="Arial"/>
          <w:sz w:val="20"/>
          <w:szCs w:val="20"/>
        </w:rPr>
      </w:pPr>
      <w:r w:rsidRPr="0071121E">
        <w:rPr>
          <w:rFonts w:ascii="Arial" w:hAnsi="Arial" w:cs="Arial"/>
          <w:color w:val="231F20"/>
          <w:sz w:val="20"/>
          <w:szCs w:val="20"/>
        </w:rPr>
        <w:t xml:space="preserve">General information for the ERA program is available on the program website at </w:t>
      </w:r>
      <w:hyperlink r:id="rId22" w:history="1">
        <w:r w:rsidR="00B013E4">
          <w:rPr>
            <w:rStyle w:val="Hyperlink"/>
            <w:rFonts w:ascii="Arial" w:hAnsi="Arial" w:cs="Arial"/>
            <w:sz w:val="20"/>
            <w:szCs w:val="20"/>
          </w:rPr>
          <w:t>https://home.treasury.gov/policy-issues/coronavirus/assistance-for-state-local-and-tribal-governments/emergency-rental-assistance-program/allocations-and-payments</w:t>
        </w:r>
      </w:hyperlink>
      <w:r w:rsidR="00B013E4" w:rsidRPr="00B013E4">
        <w:rPr>
          <w:rFonts w:ascii="Arial" w:hAnsi="Arial" w:cs="Arial"/>
          <w:sz w:val="20"/>
        </w:rPr>
        <w:t xml:space="preserve">. </w:t>
      </w:r>
      <w:r w:rsidRPr="0071121E">
        <w:rPr>
          <w:rFonts w:ascii="Arial" w:hAnsi="Arial" w:cs="Arial"/>
          <w:color w:val="231F20"/>
          <w:sz w:val="20"/>
          <w:szCs w:val="20"/>
        </w:rPr>
        <w:t xml:space="preserve">Information includes the following </w:t>
      </w:r>
      <w:r w:rsidRPr="0071121E">
        <w:rPr>
          <w:rFonts w:ascii="Arial" w:hAnsi="Arial" w:cs="Arial"/>
          <w:color w:val="474749"/>
          <w:sz w:val="20"/>
          <w:szCs w:val="20"/>
        </w:rPr>
        <w:t>documents:</w:t>
      </w:r>
    </w:p>
    <w:p w14:paraId="61663988" w14:textId="4494188E" w:rsidR="0071121E" w:rsidRPr="00F34B5D" w:rsidRDefault="0071121E" w:rsidP="00F34B5D">
      <w:pPr>
        <w:pStyle w:val="ListParagraph"/>
        <w:widowControl w:val="0"/>
        <w:numPr>
          <w:ilvl w:val="0"/>
          <w:numId w:val="47"/>
        </w:numPr>
        <w:tabs>
          <w:tab w:val="left" w:pos="919"/>
          <w:tab w:val="left" w:pos="920"/>
        </w:tabs>
        <w:suppressAutoHyphens w:val="0"/>
        <w:adjustRightInd/>
        <w:spacing w:after="240"/>
        <w:jc w:val="both"/>
        <w:rPr>
          <w:rFonts w:ascii="Arial" w:hAnsi="Arial" w:cs="Arial"/>
        </w:rPr>
      </w:pPr>
      <w:r w:rsidRPr="0071121E">
        <w:rPr>
          <w:rFonts w:ascii="Arial" w:hAnsi="Arial" w:cs="Arial"/>
          <w:color w:val="231F20"/>
        </w:rPr>
        <w:t>ERA authorizing statute:</w:t>
      </w:r>
      <w:r w:rsidRPr="0071121E">
        <w:rPr>
          <w:rFonts w:ascii="Arial" w:hAnsi="Arial" w:cs="Arial"/>
          <w:color w:val="2E75B5"/>
        </w:rPr>
        <w:t xml:space="preserve"> </w:t>
      </w:r>
      <w:hyperlink r:id="rId23" w:history="1">
        <w:r w:rsidR="00950585" w:rsidRPr="00BD063D">
          <w:rPr>
            <w:rStyle w:val="Hyperlink"/>
            <w:rFonts w:ascii="Arial" w:hAnsi="Arial" w:cs="Arial"/>
            <w:u w:color="2E75B5"/>
          </w:rPr>
          <w:t>https://www.govinfo.gov/content/pkg/PLAW-11</w:t>
        </w:r>
        <w:r w:rsidR="00950585" w:rsidRPr="00BD063D">
          <w:rPr>
            <w:rStyle w:val="Hyperlink"/>
            <w:rFonts w:ascii="Arial" w:hAnsi="Arial" w:cs="Arial"/>
            <w:u w:color="2E75B5"/>
          </w:rPr>
          <w:t>6</w:t>
        </w:r>
        <w:r w:rsidR="00950585" w:rsidRPr="00BD063D">
          <w:rPr>
            <w:rStyle w:val="Hyperlink"/>
            <w:rFonts w:ascii="Arial" w:hAnsi="Arial" w:cs="Arial"/>
            <w:u w:color="2E75B5"/>
          </w:rPr>
          <w:t>publ260/pdf/PLAW-116publ260.pdf</w:t>
        </w:r>
      </w:hyperlink>
      <w:r w:rsidR="00950585">
        <w:rPr>
          <w:rFonts w:ascii="Arial" w:hAnsi="Arial" w:cs="Arial"/>
          <w:color w:val="2E75B5"/>
          <w:u w:val="single" w:color="2E75B5"/>
        </w:rPr>
        <w:t xml:space="preserve"> </w:t>
      </w:r>
    </w:p>
    <w:p w14:paraId="72298061" w14:textId="148F137D" w:rsidR="0071121E" w:rsidRPr="00950585" w:rsidRDefault="0071121E" w:rsidP="00F34B5D">
      <w:pPr>
        <w:pStyle w:val="ListParagraph"/>
        <w:widowControl w:val="0"/>
        <w:numPr>
          <w:ilvl w:val="0"/>
          <w:numId w:val="47"/>
        </w:numPr>
        <w:tabs>
          <w:tab w:val="left" w:pos="919"/>
          <w:tab w:val="left" w:pos="920"/>
        </w:tabs>
        <w:spacing w:after="240"/>
        <w:jc w:val="both"/>
        <w:rPr>
          <w:rFonts w:ascii="Arial" w:hAnsi="Arial" w:cs="Arial"/>
        </w:rPr>
      </w:pPr>
      <w:r w:rsidRPr="0071121E">
        <w:rPr>
          <w:rFonts w:ascii="Arial" w:hAnsi="Arial" w:cs="Arial"/>
          <w:color w:val="231F20"/>
        </w:rPr>
        <w:t>ERA 2 authorizing</w:t>
      </w:r>
      <w:r w:rsidRPr="0071121E">
        <w:rPr>
          <w:rFonts w:ascii="Arial" w:hAnsi="Arial" w:cs="Arial"/>
          <w:color w:val="231F20"/>
          <w:spacing w:val="-2"/>
        </w:rPr>
        <w:t xml:space="preserve"> </w:t>
      </w:r>
      <w:r w:rsidRPr="0071121E">
        <w:rPr>
          <w:rFonts w:ascii="Arial" w:hAnsi="Arial" w:cs="Arial"/>
          <w:color w:val="231F20"/>
        </w:rPr>
        <w:t>statut</w:t>
      </w:r>
      <w:r w:rsidRPr="00950585">
        <w:rPr>
          <w:rFonts w:ascii="Arial" w:hAnsi="Arial" w:cs="Arial"/>
          <w:color w:val="231F20"/>
        </w:rPr>
        <w:t>e:</w:t>
      </w:r>
      <w:r w:rsidR="00950585" w:rsidRPr="00B013E4">
        <w:rPr>
          <w:rFonts w:ascii="Arial" w:hAnsi="Arial" w:cs="Arial"/>
          <w:color w:val="2E75B5"/>
        </w:rPr>
        <w:t xml:space="preserve"> </w:t>
      </w:r>
      <w:hyperlink r:id="rId24">
        <w:r w:rsidR="00950585" w:rsidRPr="00950585">
          <w:rPr>
            <w:rStyle w:val="Hyperlink"/>
            <w:rFonts w:ascii="Arial" w:hAnsi="Arial" w:cs="Arial"/>
          </w:rPr>
          <w:t>https://www.govinfo.g</w:t>
        </w:r>
        <w:r w:rsidR="00950585" w:rsidRPr="00950585">
          <w:rPr>
            <w:rStyle w:val="Hyperlink"/>
            <w:rFonts w:ascii="Arial" w:hAnsi="Arial" w:cs="Arial"/>
          </w:rPr>
          <w:t>o</w:t>
        </w:r>
        <w:r w:rsidR="00950585" w:rsidRPr="00950585">
          <w:rPr>
            <w:rStyle w:val="Hyperlink"/>
            <w:rFonts w:ascii="Arial" w:hAnsi="Arial" w:cs="Arial"/>
          </w:rPr>
          <w:t>v/content/pkg/PLAW-117publ2/pdf/PLAW-117publ2.pdf</w:t>
        </w:r>
      </w:hyperlink>
      <w:r w:rsidR="00950585" w:rsidRPr="00950585">
        <w:rPr>
          <w:rFonts w:ascii="Arial" w:hAnsi="Arial" w:cs="Arial"/>
          <w:color w:val="2E75B5"/>
          <w:u w:val="single" w:color="2E75B5"/>
        </w:rPr>
        <w:t xml:space="preserve">  </w:t>
      </w:r>
    </w:p>
    <w:p w14:paraId="50872600" w14:textId="4FEB5151" w:rsidR="0071121E" w:rsidRPr="00F34B5D" w:rsidRDefault="0071121E" w:rsidP="00F34B5D">
      <w:pPr>
        <w:pStyle w:val="ListParagraph"/>
        <w:widowControl w:val="0"/>
        <w:numPr>
          <w:ilvl w:val="0"/>
          <w:numId w:val="47"/>
        </w:numPr>
        <w:tabs>
          <w:tab w:val="left" w:pos="919"/>
          <w:tab w:val="left" w:pos="920"/>
        </w:tabs>
        <w:suppressAutoHyphens w:val="0"/>
        <w:adjustRightInd/>
        <w:spacing w:after="240"/>
        <w:jc w:val="both"/>
        <w:rPr>
          <w:rFonts w:ascii="Arial" w:hAnsi="Arial" w:cs="Arial"/>
        </w:rPr>
      </w:pPr>
      <w:r w:rsidRPr="0071121E">
        <w:rPr>
          <w:rFonts w:ascii="Arial" w:hAnsi="Arial" w:cs="Arial"/>
          <w:color w:val="231F20"/>
        </w:rPr>
        <w:t>Section 15011 of the CARES Act regarding ERA1 reporting:</w:t>
      </w:r>
      <w:r w:rsidRPr="0071121E">
        <w:rPr>
          <w:rFonts w:ascii="Arial" w:hAnsi="Arial" w:cs="Arial"/>
          <w:color w:val="2E75B5"/>
          <w:u w:val="single" w:color="2E75B5"/>
        </w:rPr>
        <w:t xml:space="preserve"> </w:t>
      </w:r>
      <w:hyperlink r:id="rId25">
        <w:r w:rsidRPr="00950585">
          <w:rPr>
            <w:rStyle w:val="Hyperlink"/>
            <w:rFonts w:ascii="Arial" w:hAnsi="Arial" w:cs="Arial"/>
          </w:rPr>
          <w:t>https://www.govinfo.gov/content/pkg/PLAW</w:t>
        </w:r>
        <w:r w:rsidRPr="00950585">
          <w:rPr>
            <w:rStyle w:val="Hyperlink"/>
            <w:rFonts w:ascii="Arial" w:hAnsi="Arial" w:cs="Arial"/>
          </w:rPr>
          <w:t>-</w:t>
        </w:r>
        <w:r w:rsidRPr="00950585">
          <w:rPr>
            <w:rStyle w:val="Hyperlink"/>
            <w:rFonts w:ascii="Arial" w:hAnsi="Arial" w:cs="Arial"/>
          </w:rPr>
          <w:t>116publ136/pdf/PLAW-116publ136.pdf</w:t>
        </w:r>
      </w:hyperlink>
      <w:r w:rsidR="00950585" w:rsidRPr="00950585">
        <w:rPr>
          <w:rStyle w:val="Hyperlink"/>
          <w:rFonts w:ascii="Arial" w:hAnsi="Arial" w:cs="Arial"/>
        </w:rPr>
        <w:t xml:space="preserve"> </w:t>
      </w:r>
    </w:p>
    <w:p w14:paraId="34DC3663" w14:textId="70907083" w:rsidR="0071121E" w:rsidRPr="00F34B5D" w:rsidRDefault="0071121E" w:rsidP="00F34B5D">
      <w:pPr>
        <w:pStyle w:val="ListParagraph"/>
        <w:widowControl w:val="0"/>
        <w:numPr>
          <w:ilvl w:val="0"/>
          <w:numId w:val="47"/>
        </w:numPr>
        <w:tabs>
          <w:tab w:val="left" w:pos="919"/>
          <w:tab w:val="left" w:pos="920"/>
        </w:tabs>
        <w:suppressAutoHyphens w:val="0"/>
        <w:adjustRightInd/>
        <w:spacing w:after="240"/>
        <w:jc w:val="both"/>
        <w:rPr>
          <w:rFonts w:ascii="Arial" w:hAnsi="Arial" w:cs="Arial"/>
        </w:rPr>
      </w:pPr>
      <w:r w:rsidRPr="0071121E">
        <w:rPr>
          <w:rFonts w:ascii="Arial" w:hAnsi="Arial" w:cs="Arial"/>
          <w:color w:val="231F20"/>
        </w:rPr>
        <w:t>ERA 1 Award Terms template:</w:t>
      </w:r>
      <w:r w:rsidRPr="0071121E">
        <w:rPr>
          <w:rFonts w:ascii="Arial" w:hAnsi="Arial" w:cs="Arial"/>
          <w:color w:val="2E75B5"/>
          <w:spacing w:val="-29"/>
        </w:rPr>
        <w:t xml:space="preserve"> </w:t>
      </w:r>
      <w:hyperlink r:id="rId26" w:history="1">
        <w:r w:rsidR="00950585" w:rsidRPr="00BD063D">
          <w:rPr>
            <w:rStyle w:val="Hyperlink"/>
            <w:rFonts w:ascii="Arial" w:hAnsi="Arial" w:cs="Arial"/>
            <w:u w:color="2E75B5"/>
          </w:rPr>
          <w:t>https://home.treasury.gov/system/files/136/Emergency-rental-</w:t>
        </w:r>
        <w:r w:rsidR="00950585" w:rsidRPr="00BD063D">
          <w:rPr>
            <w:rStyle w:val="Hyperlink"/>
            <w:rFonts w:ascii="Arial" w:hAnsi="Arial" w:cs="Arial"/>
            <w:u w:color="2E75B5"/>
          </w:rPr>
          <w:lastRenderedPageBreak/>
          <w:t>assistance-terms-FINAL.pdf</w:t>
        </w:r>
      </w:hyperlink>
      <w:r w:rsidR="00950585">
        <w:rPr>
          <w:rFonts w:ascii="Arial" w:hAnsi="Arial" w:cs="Arial"/>
          <w:color w:val="2E75B5"/>
          <w:u w:val="single" w:color="2E75B5"/>
        </w:rPr>
        <w:t xml:space="preserve"> </w:t>
      </w:r>
    </w:p>
    <w:p w14:paraId="6D82FA51" w14:textId="7185F1A9" w:rsidR="0071121E" w:rsidRPr="00F34B5D" w:rsidRDefault="0071121E" w:rsidP="00F34B5D">
      <w:pPr>
        <w:pStyle w:val="ListParagraph"/>
        <w:widowControl w:val="0"/>
        <w:numPr>
          <w:ilvl w:val="0"/>
          <w:numId w:val="47"/>
        </w:numPr>
        <w:tabs>
          <w:tab w:val="left" w:pos="919"/>
          <w:tab w:val="left" w:pos="920"/>
        </w:tabs>
        <w:suppressAutoHyphens w:val="0"/>
        <w:adjustRightInd/>
        <w:spacing w:after="240"/>
        <w:jc w:val="both"/>
        <w:rPr>
          <w:rFonts w:ascii="Arial" w:hAnsi="Arial" w:cs="Arial"/>
        </w:rPr>
      </w:pPr>
      <w:r w:rsidRPr="0071121E">
        <w:rPr>
          <w:rFonts w:ascii="Arial" w:hAnsi="Arial" w:cs="Arial"/>
          <w:color w:val="231F20"/>
        </w:rPr>
        <w:t>ERA 2 Award Terms template:</w:t>
      </w:r>
      <w:r w:rsidRPr="0071121E">
        <w:rPr>
          <w:rFonts w:ascii="Arial" w:hAnsi="Arial" w:cs="Arial"/>
          <w:color w:val="2E75B5"/>
          <w:u w:val="single" w:color="2E75B5"/>
        </w:rPr>
        <w:t xml:space="preserve"> </w:t>
      </w:r>
      <w:hyperlink r:id="rId27" w:history="1">
        <w:r w:rsidR="00950585" w:rsidRPr="00BD063D">
          <w:rPr>
            <w:rStyle w:val="Hyperlink"/>
            <w:rFonts w:ascii="Arial" w:hAnsi="Arial" w:cs="Arial"/>
            <w:spacing w:val="-1"/>
            <w:u w:color="2E75B5"/>
          </w:rPr>
          <w:t>https://home.treasury.gov/system/files/136/ERA2_Grantee_Award_Terms_572021.pdf</w:t>
        </w:r>
      </w:hyperlink>
      <w:r w:rsidR="00950585">
        <w:rPr>
          <w:rFonts w:ascii="Arial" w:hAnsi="Arial" w:cs="Arial"/>
          <w:color w:val="2E75B5"/>
          <w:spacing w:val="-1"/>
          <w:u w:val="single" w:color="2E75B5"/>
        </w:rPr>
        <w:t xml:space="preserve"> </w:t>
      </w:r>
    </w:p>
    <w:p w14:paraId="629BF656" w14:textId="7D28F023" w:rsidR="0071121E" w:rsidRPr="00F34B5D" w:rsidRDefault="0071121E" w:rsidP="00F34B5D">
      <w:pPr>
        <w:pStyle w:val="ListParagraph"/>
        <w:widowControl w:val="0"/>
        <w:numPr>
          <w:ilvl w:val="0"/>
          <w:numId w:val="47"/>
        </w:numPr>
        <w:tabs>
          <w:tab w:val="left" w:pos="919"/>
          <w:tab w:val="left" w:pos="920"/>
        </w:tabs>
        <w:suppressAutoHyphens w:val="0"/>
        <w:adjustRightInd/>
        <w:spacing w:after="240"/>
        <w:jc w:val="both"/>
        <w:rPr>
          <w:rFonts w:ascii="Arial" w:hAnsi="Arial" w:cs="Arial"/>
        </w:rPr>
      </w:pPr>
      <w:r w:rsidRPr="0071121E">
        <w:rPr>
          <w:rFonts w:ascii="Arial" w:hAnsi="Arial" w:cs="Arial"/>
          <w:color w:val="231F20"/>
        </w:rPr>
        <w:t>Treasury’s</w:t>
      </w:r>
      <w:r w:rsidRPr="0071121E">
        <w:rPr>
          <w:rFonts w:ascii="Arial" w:hAnsi="Arial" w:cs="Arial"/>
          <w:color w:val="231F20"/>
          <w:spacing w:val="-6"/>
        </w:rPr>
        <w:t xml:space="preserve"> </w:t>
      </w:r>
      <w:r w:rsidRPr="0071121E">
        <w:rPr>
          <w:rFonts w:ascii="Arial" w:hAnsi="Arial" w:cs="Arial"/>
          <w:color w:val="231F20"/>
        </w:rPr>
        <w:t>ERA</w:t>
      </w:r>
      <w:r w:rsidRPr="0071121E">
        <w:rPr>
          <w:rFonts w:ascii="Arial" w:hAnsi="Arial" w:cs="Arial"/>
          <w:color w:val="231F20"/>
          <w:spacing w:val="-5"/>
        </w:rPr>
        <w:t xml:space="preserve"> </w:t>
      </w:r>
      <w:r w:rsidRPr="0071121E">
        <w:rPr>
          <w:rFonts w:ascii="Arial" w:hAnsi="Arial" w:cs="Arial"/>
          <w:color w:val="231F20"/>
        </w:rPr>
        <w:t>Frequently</w:t>
      </w:r>
      <w:r w:rsidRPr="0071121E">
        <w:rPr>
          <w:rFonts w:ascii="Arial" w:hAnsi="Arial" w:cs="Arial"/>
          <w:color w:val="231F20"/>
          <w:spacing w:val="-5"/>
        </w:rPr>
        <w:t xml:space="preserve"> </w:t>
      </w:r>
      <w:r w:rsidRPr="0071121E">
        <w:rPr>
          <w:rFonts w:ascii="Arial" w:hAnsi="Arial" w:cs="Arial"/>
          <w:color w:val="231F20"/>
        </w:rPr>
        <w:t>Asked</w:t>
      </w:r>
      <w:r w:rsidRPr="0071121E">
        <w:rPr>
          <w:rFonts w:ascii="Arial" w:hAnsi="Arial" w:cs="Arial"/>
          <w:color w:val="231F20"/>
          <w:spacing w:val="-6"/>
        </w:rPr>
        <w:t xml:space="preserve"> </w:t>
      </w:r>
      <w:r w:rsidRPr="0071121E">
        <w:rPr>
          <w:rFonts w:ascii="Arial" w:hAnsi="Arial" w:cs="Arial"/>
          <w:color w:val="231F20"/>
        </w:rPr>
        <w:t>Questions</w:t>
      </w:r>
      <w:r w:rsidRPr="0071121E">
        <w:rPr>
          <w:rFonts w:ascii="Arial" w:hAnsi="Arial" w:cs="Arial"/>
          <w:color w:val="231F20"/>
          <w:spacing w:val="-5"/>
        </w:rPr>
        <w:t xml:space="preserve"> </w:t>
      </w:r>
      <w:r w:rsidRPr="0071121E">
        <w:rPr>
          <w:rFonts w:ascii="Arial" w:hAnsi="Arial" w:cs="Arial"/>
          <w:color w:val="231F20"/>
        </w:rPr>
        <w:t>(FAQs)</w:t>
      </w:r>
      <w:r w:rsidRPr="0071121E">
        <w:rPr>
          <w:rFonts w:ascii="Arial" w:hAnsi="Arial" w:cs="Arial"/>
          <w:color w:val="231F20"/>
          <w:spacing w:val="-6"/>
        </w:rPr>
        <w:t xml:space="preserve"> </w:t>
      </w:r>
      <w:r w:rsidRPr="0071121E">
        <w:rPr>
          <w:rFonts w:ascii="Arial" w:hAnsi="Arial" w:cs="Arial"/>
          <w:color w:val="231F20"/>
        </w:rPr>
        <w:t>and</w:t>
      </w:r>
      <w:r w:rsidRPr="0071121E">
        <w:rPr>
          <w:rFonts w:ascii="Arial" w:hAnsi="Arial" w:cs="Arial"/>
          <w:color w:val="231F20"/>
          <w:spacing w:val="-6"/>
        </w:rPr>
        <w:t xml:space="preserve"> </w:t>
      </w:r>
      <w:r w:rsidRPr="0071121E">
        <w:rPr>
          <w:rFonts w:ascii="Arial" w:hAnsi="Arial" w:cs="Arial"/>
          <w:color w:val="231F20"/>
        </w:rPr>
        <w:t>program</w:t>
      </w:r>
      <w:r w:rsidRPr="0071121E">
        <w:rPr>
          <w:rFonts w:ascii="Arial" w:hAnsi="Arial" w:cs="Arial"/>
          <w:color w:val="231F20"/>
          <w:spacing w:val="-5"/>
        </w:rPr>
        <w:t xml:space="preserve"> </w:t>
      </w:r>
      <w:r w:rsidRPr="0071121E">
        <w:rPr>
          <w:rFonts w:ascii="Arial" w:hAnsi="Arial" w:cs="Arial"/>
          <w:color w:val="231F20"/>
        </w:rPr>
        <w:t>guidelines</w:t>
      </w:r>
      <w:r w:rsidRPr="0071121E">
        <w:rPr>
          <w:rFonts w:ascii="Arial" w:hAnsi="Arial" w:cs="Arial"/>
          <w:color w:val="231F20"/>
          <w:spacing w:val="-6"/>
        </w:rPr>
        <w:t xml:space="preserve"> </w:t>
      </w:r>
      <w:r w:rsidRPr="0071121E">
        <w:rPr>
          <w:rFonts w:ascii="Arial" w:hAnsi="Arial" w:cs="Arial"/>
          <w:color w:val="231F20"/>
        </w:rPr>
        <w:t>are available at</w:t>
      </w:r>
      <w:r w:rsidRPr="0071121E">
        <w:rPr>
          <w:rFonts w:ascii="Arial" w:hAnsi="Arial" w:cs="Arial"/>
          <w:color w:val="2E75B5"/>
          <w:spacing w:val="-24"/>
        </w:rPr>
        <w:t xml:space="preserve"> </w:t>
      </w:r>
      <w:hyperlink r:id="rId28" w:history="1">
        <w:r w:rsidR="00950585" w:rsidRPr="00BD063D">
          <w:rPr>
            <w:rStyle w:val="Hyperlink"/>
            <w:rFonts w:ascii="Arial" w:hAnsi="Arial" w:cs="Arial"/>
            <w:u w:color="2E75B5"/>
          </w:rPr>
          <w:t>https://home.treasury.gov/system/files/136/ERA-FAQ-8-25-2021.pdf</w:t>
        </w:r>
      </w:hyperlink>
      <w:r w:rsidR="00950585">
        <w:rPr>
          <w:rFonts w:ascii="Arial" w:hAnsi="Arial" w:cs="Arial"/>
          <w:color w:val="2E75B5"/>
          <w:u w:val="single" w:color="2E75B5"/>
        </w:rPr>
        <w:t xml:space="preserve"> </w:t>
      </w:r>
    </w:p>
    <w:p w14:paraId="64D6B4C4" w14:textId="6BB7D56E" w:rsidR="0071121E" w:rsidRPr="00F34B5D" w:rsidRDefault="0071121E" w:rsidP="00F34B5D">
      <w:pPr>
        <w:pStyle w:val="ListParagraph"/>
        <w:widowControl w:val="0"/>
        <w:numPr>
          <w:ilvl w:val="0"/>
          <w:numId w:val="47"/>
        </w:numPr>
        <w:tabs>
          <w:tab w:val="left" w:pos="919"/>
          <w:tab w:val="left" w:pos="920"/>
        </w:tabs>
        <w:suppressAutoHyphens w:val="0"/>
        <w:adjustRightInd/>
        <w:spacing w:after="240"/>
        <w:jc w:val="both"/>
        <w:rPr>
          <w:rFonts w:ascii="Arial" w:hAnsi="Arial" w:cs="Arial"/>
        </w:rPr>
      </w:pPr>
      <w:r w:rsidRPr="0071121E">
        <w:rPr>
          <w:rFonts w:ascii="Arial" w:hAnsi="Arial" w:cs="Arial"/>
          <w:color w:val="231F20"/>
        </w:rPr>
        <w:t>Treasury’s ERA 1 Reallocation guidance:</w:t>
      </w:r>
      <w:r w:rsidRPr="0071121E">
        <w:rPr>
          <w:rFonts w:ascii="Arial" w:hAnsi="Arial" w:cs="Arial"/>
          <w:color w:val="2E75B5"/>
        </w:rPr>
        <w:t xml:space="preserve"> </w:t>
      </w:r>
      <w:hyperlink r:id="rId29" w:history="1">
        <w:r w:rsidR="00950585" w:rsidRPr="00BD063D">
          <w:rPr>
            <w:rStyle w:val="Hyperlink"/>
            <w:rFonts w:ascii="Arial" w:hAnsi="Arial" w:cs="Arial"/>
            <w:u w:color="2E75B5"/>
          </w:rPr>
          <w:t>https://home.treasury.gov/policy-</w:t>
        </w:r>
        <w:r w:rsidR="00950585" w:rsidRPr="00BD063D">
          <w:rPr>
            <w:rStyle w:val="Hyperlink"/>
            <w:rFonts w:ascii="Arial" w:hAnsi="Arial" w:cs="Arial"/>
            <w:spacing w:val="-1"/>
            <w:u w:color="2E75B5"/>
          </w:rPr>
          <w:t>issues/coronavirus/assistance-for-state-local-and-tribal-governments/emergency-rental-</w:t>
        </w:r>
        <w:r w:rsidR="00950585" w:rsidRPr="00BD063D">
          <w:rPr>
            <w:rStyle w:val="Hyperlink"/>
            <w:rFonts w:ascii="Arial" w:hAnsi="Arial" w:cs="Arial"/>
            <w:u w:color="2E75B5"/>
          </w:rPr>
          <w:t>assistance-program/guidance</w:t>
        </w:r>
      </w:hyperlink>
      <w:r w:rsidR="00950585">
        <w:rPr>
          <w:rFonts w:ascii="Arial" w:hAnsi="Arial" w:cs="Arial"/>
          <w:color w:val="2E75B5"/>
          <w:u w:val="single" w:color="2E75B5"/>
        </w:rPr>
        <w:t xml:space="preserve">  </w:t>
      </w:r>
    </w:p>
    <w:p w14:paraId="3E2F28AC" w14:textId="00B006C9" w:rsidR="0071121E" w:rsidRPr="00F34B5D" w:rsidRDefault="0071121E" w:rsidP="00F34B5D">
      <w:pPr>
        <w:pStyle w:val="ListParagraph"/>
        <w:widowControl w:val="0"/>
        <w:numPr>
          <w:ilvl w:val="0"/>
          <w:numId w:val="47"/>
        </w:numPr>
        <w:tabs>
          <w:tab w:val="left" w:pos="919"/>
          <w:tab w:val="left" w:pos="920"/>
        </w:tabs>
        <w:suppressAutoHyphens w:val="0"/>
        <w:adjustRightInd/>
        <w:spacing w:after="240"/>
        <w:jc w:val="both"/>
        <w:rPr>
          <w:rFonts w:ascii="Arial" w:hAnsi="Arial" w:cs="Arial"/>
        </w:rPr>
      </w:pPr>
      <w:r w:rsidRPr="0071121E">
        <w:rPr>
          <w:rFonts w:ascii="Arial" w:hAnsi="Arial" w:cs="Arial"/>
          <w:color w:val="231F20"/>
        </w:rPr>
        <w:t>Treasury’s ERA 2 Reallocation Guidance:</w:t>
      </w:r>
      <w:r w:rsidRPr="0071121E">
        <w:rPr>
          <w:rFonts w:ascii="Arial" w:hAnsi="Arial" w:cs="Arial"/>
          <w:color w:val="2E75B5"/>
          <w:u w:val="single" w:color="2E75B5"/>
        </w:rPr>
        <w:t xml:space="preserve"> </w:t>
      </w:r>
      <w:hyperlink r:id="rId30" w:history="1">
        <w:r w:rsidR="00950585" w:rsidRPr="00BD063D">
          <w:rPr>
            <w:rStyle w:val="Hyperlink"/>
            <w:rFonts w:ascii="Arial" w:hAnsi="Arial" w:cs="Arial"/>
            <w:spacing w:val="-1"/>
            <w:u w:color="2E75B5"/>
          </w:rPr>
          <w:t xml:space="preserve">https://home.treasury.gov/system/files/136/ERA2-Reallocation-Guidance-March-30- </w:t>
        </w:r>
        <w:r w:rsidR="00950585" w:rsidRPr="00BD063D">
          <w:rPr>
            <w:rStyle w:val="Hyperlink"/>
            <w:rFonts w:ascii="Arial" w:hAnsi="Arial" w:cs="Arial"/>
            <w:u w:color="2E75B5"/>
          </w:rPr>
          <w:t>2022.pdf</w:t>
        </w:r>
      </w:hyperlink>
      <w:r w:rsidR="00950585">
        <w:rPr>
          <w:rFonts w:ascii="Arial" w:hAnsi="Arial" w:cs="Arial"/>
          <w:color w:val="2E75B5"/>
          <w:u w:val="single" w:color="2E75B5"/>
        </w:rPr>
        <w:t xml:space="preserve"> </w:t>
      </w:r>
    </w:p>
    <w:p w14:paraId="2C6A8C9D" w14:textId="3ACF963E" w:rsidR="0071121E" w:rsidRPr="00F34B5D" w:rsidRDefault="0071121E" w:rsidP="00F34B5D">
      <w:pPr>
        <w:pStyle w:val="ListParagraph"/>
        <w:widowControl w:val="0"/>
        <w:numPr>
          <w:ilvl w:val="0"/>
          <w:numId w:val="47"/>
        </w:numPr>
        <w:tabs>
          <w:tab w:val="left" w:pos="919"/>
          <w:tab w:val="left" w:pos="920"/>
        </w:tabs>
        <w:suppressAutoHyphens w:val="0"/>
        <w:adjustRightInd/>
        <w:spacing w:after="240"/>
        <w:jc w:val="both"/>
        <w:rPr>
          <w:rFonts w:ascii="Arial" w:hAnsi="Arial" w:cs="Arial"/>
        </w:rPr>
      </w:pPr>
      <w:r w:rsidRPr="0071121E">
        <w:rPr>
          <w:rFonts w:ascii="Arial" w:hAnsi="Arial" w:cs="Arial"/>
          <w:color w:val="231F20"/>
        </w:rPr>
        <w:t>ERA Promising Practices guidance:</w:t>
      </w:r>
      <w:r w:rsidRPr="0071121E">
        <w:rPr>
          <w:rFonts w:ascii="Arial" w:hAnsi="Arial" w:cs="Arial"/>
          <w:color w:val="2E75B5"/>
        </w:rPr>
        <w:t xml:space="preserve"> </w:t>
      </w:r>
      <w:hyperlink r:id="rId31" w:history="1">
        <w:r w:rsidR="00950585" w:rsidRPr="00BD063D">
          <w:rPr>
            <w:rStyle w:val="Hyperlink"/>
            <w:rFonts w:ascii="Arial" w:hAnsi="Arial" w:cs="Arial"/>
            <w:u w:color="2E75B5"/>
          </w:rPr>
          <w:t>https://home.treasury.gov/policy-</w:t>
        </w:r>
        <w:r w:rsidR="00950585" w:rsidRPr="00BD063D">
          <w:rPr>
            <w:rStyle w:val="Hyperlink"/>
            <w:rFonts w:ascii="Arial" w:hAnsi="Arial" w:cs="Arial"/>
            <w:spacing w:val="-1"/>
            <w:u w:color="2E75B5"/>
          </w:rPr>
          <w:t>issues/coronavirus/assistance-for-state-local-and-tribal-governments/emergency-rental-</w:t>
        </w:r>
        <w:r w:rsidR="00950585" w:rsidRPr="00BD063D">
          <w:rPr>
            <w:rStyle w:val="Hyperlink"/>
            <w:rFonts w:ascii="Arial" w:hAnsi="Arial" w:cs="Arial"/>
            <w:u w:color="2E75B5"/>
          </w:rPr>
          <w:t>assistance-program/promising-practices</w:t>
        </w:r>
      </w:hyperlink>
      <w:r w:rsidR="00950585">
        <w:rPr>
          <w:rFonts w:ascii="Arial" w:hAnsi="Arial" w:cs="Arial"/>
          <w:color w:val="2E75B5"/>
          <w:u w:val="single" w:color="2E75B5"/>
        </w:rPr>
        <w:t xml:space="preserve">  </w:t>
      </w:r>
    </w:p>
    <w:p w14:paraId="27EAEA50" w14:textId="0461CDBC" w:rsidR="0071121E" w:rsidRPr="00F34B5D" w:rsidRDefault="0071121E" w:rsidP="00F34B5D">
      <w:pPr>
        <w:pStyle w:val="ListParagraph"/>
        <w:widowControl w:val="0"/>
        <w:numPr>
          <w:ilvl w:val="0"/>
          <w:numId w:val="47"/>
        </w:numPr>
        <w:tabs>
          <w:tab w:val="left" w:pos="919"/>
          <w:tab w:val="left" w:pos="920"/>
        </w:tabs>
        <w:suppressAutoHyphens w:val="0"/>
        <w:adjustRightInd/>
        <w:spacing w:after="240"/>
        <w:jc w:val="both"/>
        <w:rPr>
          <w:rFonts w:ascii="Arial" w:hAnsi="Arial" w:cs="Arial"/>
          <w:color w:val="231F20"/>
        </w:rPr>
      </w:pPr>
      <w:r w:rsidRPr="0071121E">
        <w:rPr>
          <w:rFonts w:ascii="Arial" w:hAnsi="Arial" w:cs="Arial"/>
          <w:color w:val="231F20"/>
        </w:rPr>
        <w:t>ERA Program and Service Design guidance:</w:t>
      </w:r>
      <w:r w:rsidRPr="0071121E">
        <w:rPr>
          <w:rFonts w:ascii="Arial" w:hAnsi="Arial" w:cs="Arial"/>
          <w:color w:val="2E75B5"/>
        </w:rPr>
        <w:t xml:space="preserve"> </w:t>
      </w:r>
      <w:hyperlink r:id="rId32" w:history="1">
        <w:r w:rsidR="00950585" w:rsidRPr="00BD063D">
          <w:rPr>
            <w:rStyle w:val="Hyperlink"/>
            <w:rFonts w:ascii="Arial" w:hAnsi="Arial" w:cs="Arial"/>
            <w:u w:color="2E75B5"/>
          </w:rPr>
          <w:t>https://home.treasury.gov/policy-</w:t>
        </w:r>
        <w:r w:rsidR="00950585" w:rsidRPr="00BD063D">
          <w:rPr>
            <w:rStyle w:val="Hyperlink"/>
            <w:rFonts w:ascii="Arial" w:hAnsi="Arial" w:cs="Arial"/>
            <w:spacing w:val="-1"/>
            <w:u w:color="2E75B5"/>
          </w:rPr>
          <w:t>issues/coronavirus/assistance-for-state-local-and-tribal-governments/emergency-rental-</w:t>
        </w:r>
        <w:r w:rsidR="00950585" w:rsidRPr="00BD063D">
          <w:rPr>
            <w:rStyle w:val="Hyperlink"/>
            <w:rFonts w:ascii="Arial" w:hAnsi="Arial" w:cs="Arial"/>
            <w:u w:color="2E75B5"/>
          </w:rPr>
          <w:t>assistance-program/service-design</w:t>
        </w:r>
      </w:hyperlink>
      <w:r w:rsidR="00950585">
        <w:rPr>
          <w:rFonts w:ascii="Arial" w:hAnsi="Arial" w:cs="Arial"/>
          <w:color w:val="2E75B5"/>
          <w:u w:val="single" w:color="2E75B5"/>
        </w:rPr>
        <w:t xml:space="preserve">  </w:t>
      </w:r>
    </w:p>
    <w:p w14:paraId="00EBF004" w14:textId="3E5E3983" w:rsidR="0071121E" w:rsidRPr="00F34B5D" w:rsidRDefault="0071121E" w:rsidP="00F34B5D">
      <w:pPr>
        <w:pStyle w:val="ListParagraph"/>
        <w:widowControl w:val="0"/>
        <w:numPr>
          <w:ilvl w:val="0"/>
          <w:numId w:val="47"/>
        </w:numPr>
        <w:tabs>
          <w:tab w:val="left" w:pos="919"/>
          <w:tab w:val="left" w:pos="920"/>
        </w:tabs>
        <w:suppressAutoHyphens w:val="0"/>
        <w:adjustRightInd/>
        <w:spacing w:after="240"/>
        <w:jc w:val="both"/>
        <w:rPr>
          <w:rFonts w:ascii="Arial" w:hAnsi="Arial" w:cs="Arial"/>
        </w:rPr>
      </w:pPr>
      <w:r w:rsidRPr="0071121E">
        <w:rPr>
          <w:rFonts w:ascii="Arial" w:hAnsi="Arial" w:cs="Arial"/>
          <w:color w:val="231F20"/>
        </w:rPr>
        <w:t>ERA Compliance and Reporting guidance:</w:t>
      </w:r>
      <w:r w:rsidRPr="0071121E">
        <w:rPr>
          <w:rFonts w:ascii="Arial" w:hAnsi="Arial" w:cs="Arial"/>
          <w:color w:val="2E75B5"/>
        </w:rPr>
        <w:t xml:space="preserve"> </w:t>
      </w:r>
      <w:hyperlink r:id="rId33" w:history="1">
        <w:r w:rsidR="00950585" w:rsidRPr="00BD063D">
          <w:rPr>
            <w:rStyle w:val="Hyperlink"/>
            <w:rFonts w:ascii="Arial" w:hAnsi="Arial" w:cs="Arial"/>
            <w:u w:color="2E75B5"/>
          </w:rPr>
          <w:t>https://home.treasury.gov/policy-</w:t>
        </w:r>
        <w:r w:rsidR="00950585" w:rsidRPr="00BD063D">
          <w:rPr>
            <w:rStyle w:val="Hyperlink"/>
            <w:rFonts w:ascii="Arial" w:hAnsi="Arial" w:cs="Arial"/>
            <w:spacing w:val="-1"/>
            <w:u w:color="2E75B5"/>
          </w:rPr>
          <w:t>issues/coronavirus/assistance-for-state-local-and-tribal-governments/emergency-rental-</w:t>
        </w:r>
        <w:r w:rsidR="00950585" w:rsidRPr="00BD063D">
          <w:rPr>
            <w:rStyle w:val="Hyperlink"/>
            <w:rFonts w:ascii="Arial" w:hAnsi="Arial" w:cs="Arial"/>
            <w:u w:color="2E75B5"/>
          </w:rPr>
          <w:t>assistance-program/reporting</w:t>
        </w:r>
      </w:hyperlink>
      <w:r w:rsidR="00950585">
        <w:rPr>
          <w:rFonts w:ascii="Arial" w:hAnsi="Arial" w:cs="Arial"/>
          <w:color w:val="2E75B5"/>
          <w:u w:val="single" w:color="2E75B5"/>
        </w:rPr>
        <w:t xml:space="preserve">   </w:t>
      </w:r>
    </w:p>
    <w:p w14:paraId="7E318C26" w14:textId="5EF23A1E" w:rsidR="008148E3" w:rsidRPr="00F34B5D" w:rsidRDefault="0071121E" w:rsidP="00F34B5D">
      <w:pPr>
        <w:pStyle w:val="ListParagraph"/>
        <w:widowControl w:val="0"/>
        <w:numPr>
          <w:ilvl w:val="0"/>
          <w:numId w:val="47"/>
        </w:numPr>
        <w:tabs>
          <w:tab w:val="left" w:pos="919"/>
          <w:tab w:val="left" w:pos="920"/>
        </w:tabs>
        <w:suppressAutoHyphens w:val="0"/>
        <w:adjustRightInd/>
        <w:spacing w:after="240"/>
        <w:jc w:val="both"/>
        <w:rPr>
          <w:rFonts w:ascii="Arial" w:hAnsi="Arial" w:cs="Arial"/>
          <w:bCs/>
        </w:rPr>
      </w:pPr>
      <w:r w:rsidRPr="0071121E">
        <w:rPr>
          <w:rFonts w:ascii="Arial" w:hAnsi="Arial" w:cs="Arial"/>
          <w:color w:val="231F20"/>
        </w:rPr>
        <w:t>Guidance from the Treasury Office of Inspector General (OIG) related to the reporting of ERA fraud, waste, and abuse and any future monitoring of funds requirements (where applicable)</w:t>
      </w:r>
      <w:r w:rsidRPr="0071121E">
        <w:rPr>
          <w:rFonts w:ascii="Arial" w:hAnsi="Arial" w:cs="Arial"/>
          <w:color w:val="2E75B5"/>
          <w:spacing w:val="-34"/>
        </w:rPr>
        <w:t xml:space="preserve"> </w:t>
      </w:r>
      <w:hyperlink r:id="rId34" w:history="1">
        <w:r w:rsidR="00950585" w:rsidRPr="00BD063D">
          <w:rPr>
            <w:rStyle w:val="Hyperlink"/>
            <w:rFonts w:ascii="Arial" w:hAnsi="Arial" w:cs="Arial"/>
            <w:u w:color="2E75B5"/>
          </w:rPr>
          <w:t>https://home.treasury.gov/policy-issues/coronavirus/assistance-for-state-local-and-tribal-governments/emergency-rental-assistance-program/fraud</w:t>
        </w:r>
      </w:hyperlink>
      <w:r w:rsidR="00950585">
        <w:rPr>
          <w:rFonts w:ascii="Arial" w:hAnsi="Arial" w:cs="Arial"/>
          <w:color w:val="2E75B5"/>
          <w:u w:val="single" w:color="2E75B5"/>
        </w:rPr>
        <w:t xml:space="preserve">  </w:t>
      </w:r>
    </w:p>
    <w:p w14:paraId="66F594BD" w14:textId="279955BE" w:rsidR="0071121E" w:rsidRPr="00F00D94" w:rsidRDefault="0071121E" w:rsidP="00F34B5D">
      <w:pPr>
        <w:spacing w:after="240"/>
        <w:jc w:val="both"/>
        <w:rPr>
          <w:rFonts w:ascii="Arial" w:hAnsi="Arial" w:cs="Arial"/>
          <w:bCs/>
          <w:sz w:val="20"/>
        </w:rPr>
      </w:pPr>
      <w:r w:rsidRPr="00BC7F42">
        <w:rPr>
          <w:rFonts w:ascii="Arial" w:hAnsi="Arial" w:cs="Arial"/>
          <w:bCs/>
          <w:i/>
          <w:sz w:val="20"/>
        </w:rPr>
        <w:t xml:space="preserve">(Source: </w:t>
      </w:r>
      <w:r>
        <w:rPr>
          <w:rFonts w:ascii="Arial" w:hAnsi="Arial" w:cs="Arial"/>
          <w:bCs/>
          <w:i/>
          <w:sz w:val="20"/>
        </w:rPr>
        <w:t>2022 OMB Compliance Supplement, Part 4, Treasury, Emergency Rental Assistance Program)</w:t>
      </w: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35"/>
          <w:pgSz w:w="12240" w:h="15840" w:code="1"/>
          <w:pgMar w:top="1440" w:right="1440" w:bottom="1440" w:left="1440" w:header="720" w:footer="720" w:gutter="0"/>
          <w:cols w:space="720"/>
          <w:noEndnote/>
        </w:sectPr>
      </w:pPr>
    </w:p>
    <w:p w14:paraId="6CA12393" w14:textId="2ABB6401" w:rsidR="006F570B" w:rsidRPr="00F00D94" w:rsidRDefault="006F570B" w:rsidP="006672EA">
      <w:pPr>
        <w:pStyle w:val="Heading1"/>
        <w:jc w:val="both"/>
        <w:rPr>
          <w:rFonts w:cs="Arial"/>
        </w:rPr>
      </w:pPr>
      <w:bookmarkStart w:id="14" w:name="_Toc442267684"/>
      <w:bookmarkStart w:id="15" w:name="_Toc116458409"/>
      <w:r w:rsidRPr="00F00D94">
        <w:rPr>
          <w:rFonts w:cs="Arial"/>
        </w:rPr>
        <w:lastRenderedPageBreak/>
        <w:t>Part II</w:t>
      </w:r>
      <w:bookmarkEnd w:id="14"/>
      <w:r w:rsidR="003644ED" w:rsidRPr="00F00D94">
        <w:rPr>
          <w:rFonts w:cs="Arial"/>
        </w:rPr>
        <w:t xml:space="preserve"> –</w:t>
      </w:r>
      <w:r w:rsidR="00535056">
        <w:rPr>
          <w:rFonts w:cs="Arial"/>
        </w:rPr>
        <w:t xml:space="preserve"> </w:t>
      </w:r>
      <w:r w:rsidR="003644ED" w:rsidRPr="00F00D94">
        <w:rPr>
          <w:rFonts w:cs="Arial"/>
        </w:rPr>
        <w:t>Grant Specific Information</w:t>
      </w:r>
      <w:bookmarkEnd w:id="15"/>
    </w:p>
    <w:p w14:paraId="0831D2D6" w14:textId="59D357D4" w:rsidR="003644ED" w:rsidRPr="00F00D94" w:rsidRDefault="003644ED" w:rsidP="006672EA">
      <w:pPr>
        <w:pStyle w:val="Heading3"/>
        <w:jc w:val="both"/>
        <w:rPr>
          <w:rFonts w:cs="Arial"/>
        </w:rPr>
      </w:pPr>
      <w:bookmarkStart w:id="16" w:name="_Toc116458410"/>
      <w:r w:rsidRPr="00F00D94">
        <w:rPr>
          <w:rFonts w:cs="Arial"/>
        </w:rPr>
        <w:t>Program Overview</w:t>
      </w:r>
      <w:bookmarkEnd w:id="16"/>
      <w:r w:rsidR="00950585">
        <w:rPr>
          <w:rFonts w:cs="Arial"/>
        </w:rPr>
        <w:t xml:space="preserve"> and Testing Considerations </w:t>
      </w:r>
    </w:p>
    <w:p w14:paraId="2EB30BFA" w14:textId="77777777" w:rsidR="00437268" w:rsidRDefault="00437268" w:rsidP="00437268">
      <w:pPr>
        <w:spacing w:after="240"/>
        <w:jc w:val="both"/>
        <w:rPr>
          <w:rFonts w:ascii="Arial" w:hAnsi="Arial" w:cs="Arial"/>
          <w:sz w:val="20"/>
        </w:rPr>
      </w:pPr>
      <w:r w:rsidRPr="00482CCF">
        <w:rPr>
          <w:rFonts w:ascii="Arial" w:hAnsi="Arial" w:cs="Arial"/>
          <w:sz w:val="20"/>
        </w:rPr>
        <w:t>The Emergency Rental Assistance (“ERA 1”) Program provided $25 billion for direct payments to the eligible grantees with $400 million reserved for territories; $800 million reserved for the Department of Hawaiian Home Lands (DHHL) and Indian tribes, or the tribally designated housing entity of an Indian tribe, as applicable; $23.785 billion allocated to the 50 States, the District of Columbia, and the eligible local governments. Each State and the District of Columbia received a minimum payment no less than $200 million for fiscal year 2021. The Emergency Rental Assistance (“ERA 2”) program provides $21.55 billion for direct payments to the eligible grantees with $305 million reserved for the territories and approximately $21 billion will be allocated to the 50 States, the District of Columbia, and the certain local governments with more than 200,000 residents. Each State and the District of Columbia shall receive a minimum payment no less than $152 million. Amounts paid to States and the District of Columbia are based on the 2020 population estimates. Amounts paid to eligible local governments are based on the 2019 population estimates of the relative local government population share of the state population. Payments to States are subject to reduction based on payments made to eligible local governments. Local governments are eligible to receive direct payment if they are a county, municipality, town, township, village, parish, borough, or other unit of general government below the state level with a population that exceeds 200,000 residents.</w:t>
      </w:r>
    </w:p>
    <w:p w14:paraId="25DF3D3B" w14:textId="3464AB0A" w:rsidR="00437268" w:rsidRDefault="00437268" w:rsidP="00437268">
      <w:pPr>
        <w:spacing w:after="240"/>
        <w:jc w:val="both"/>
        <w:rPr>
          <w:rFonts w:ascii="Arial" w:hAnsi="Arial" w:cs="Arial"/>
          <w:sz w:val="20"/>
        </w:rPr>
      </w:pPr>
      <w:r w:rsidRPr="00482CCF">
        <w:rPr>
          <w:rFonts w:ascii="Arial" w:hAnsi="Arial" w:cs="Arial"/>
          <w:sz w:val="20"/>
        </w:rPr>
        <w:t>The funding provided by the ERA programs will among other things, assist eligible households that have difficulty making timely payments of rent and utilities due to the COVID-19 pandemic. Division N, Title V, Section 501 of the Consolidated Appropriations Act, 2021, Pub. L. No. 116-260, (December 27, 2020) established the Emergency Rental Assistance (“ERA 1”) program and provides $25 billion for the U.S. Department of the Treasury (Treasury) to make payments to States (defined to include the District of Columbia), U.S. Territories (Puerto Rico, U.S. Virgin Islands, Guam, Northern Mariana Islands, and American Samoa), Indian tribes or tribally designated housing entities, as applicable, the Department of Hawaiian Homelands, and certain local governments with more than 200,000 residents (collectively the “eligible grantees”) to provide financial assistance including payment of rent, rental arrears, utilities, home energy costs, utilities and home energy costs arrears and other costs related to housing, and housing stability services to eligible households. Treasury must make direct payments to the eligible grantees no later than 30 days after December 27, 2020. Title III, Subtitle B, Section 3201 of the American Rescue Plan Act, 2021, Pub. L. No. 117-2, (March 11, 2021) authorized the Emergency Rental Assistance (“ERA 2”) Program and provides $21.55 billion for the Treasury to make payments to States (defined to include the District of Columbia), U.S. Territories (Puerto Rico, U.S. Virgin Islands, Guam, Northern Mariana Islands, and American Samoa), and certain local governments with more than 200,000 residents (collectively the “eligible grantees”) to provide financial assistance including payment of rent, rental arrears, utilities, home energy costs, utilities and home energy costs arrears and other costs related to housing, and housing stability services to eligible households, as well as cover the costs for other affordable rental housing and eviction prevention activities for eligible households. Under ERA 2, Treasury shall pay all eligible grantees at least 40% of each grantee’s total allocations within 60 days after March 11, 2021 pursuant to section 3201(c).</w:t>
      </w:r>
    </w:p>
    <w:p w14:paraId="003CB7E2" w14:textId="77777777" w:rsidR="00437268" w:rsidRPr="0061745E" w:rsidRDefault="00437268" w:rsidP="00437268">
      <w:pPr>
        <w:spacing w:after="240"/>
        <w:jc w:val="both"/>
        <w:rPr>
          <w:rFonts w:ascii="Arial" w:hAnsi="Arial" w:cs="Arial"/>
          <w:b/>
          <w:i/>
          <w:sz w:val="20"/>
        </w:rPr>
      </w:pPr>
      <w:r w:rsidRPr="0061745E">
        <w:rPr>
          <w:rFonts w:ascii="Arial" w:hAnsi="Arial" w:cs="Arial"/>
          <w:b/>
          <w:i/>
          <w:sz w:val="20"/>
        </w:rPr>
        <w:t>Grantee Eligibility:</w:t>
      </w:r>
    </w:p>
    <w:p w14:paraId="34671C77" w14:textId="77777777" w:rsidR="00437268" w:rsidRDefault="00437268" w:rsidP="00437268">
      <w:pPr>
        <w:pStyle w:val="ListParagraph"/>
        <w:numPr>
          <w:ilvl w:val="0"/>
          <w:numId w:val="50"/>
        </w:numPr>
        <w:spacing w:after="240"/>
        <w:jc w:val="both"/>
        <w:rPr>
          <w:rFonts w:ascii="Arial" w:hAnsi="Arial" w:cs="Arial"/>
        </w:rPr>
      </w:pPr>
      <w:r w:rsidRPr="007E3F14">
        <w:rPr>
          <w:rFonts w:ascii="Arial" w:hAnsi="Arial" w:cs="Arial"/>
        </w:rPr>
        <w:t xml:space="preserve">ERA 1: States (including the District of Columbia), U.S. Territories, eligible local governments, the Department of Hawaiian Home Lands (DHHL), and Indian tribes or the tribally designated housing entity of an Indian tribe, as applicable are eligible grantees, as described in section 501(k)(2) of the Consolidated Appropriations Act, 2021. Units of local government eligible for payment directly include a county, municipality, town, township, village, parish, borough, or other unit of general government below the state level with a population that exceeds 200,000. </w:t>
      </w:r>
    </w:p>
    <w:p w14:paraId="72BBC005" w14:textId="77777777" w:rsidR="00437268" w:rsidRDefault="00437268" w:rsidP="00437268">
      <w:pPr>
        <w:pStyle w:val="ListParagraph"/>
        <w:numPr>
          <w:ilvl w:val="0"/>
          <w:numId w:val="50"/>
        </w:numPr>
        <w:spacing w:after="240"/>
        <w:jc w:val="both"/>
        <w:rPr>
          <w:rFonts w:ascii="Arial" w:hAnsi="Arial" w:cs="Arial"/>
        </w:rPr>
      </w:pPr>
      <w:r w:rsidRPr="007E3F14">
        <w:rPr>
          <w:rFonts w:ascii="Arial" w:hAnsi="Arial" w:cs="Arial"/>
        </w:rPr>
        <w:t xml:space="preserve">ERA 2: Section 3201(f)(1) of the American Rescue Plan Act of 2021 provides that eligible grantees for funding under the Emergency Rental Assistance (ERA 2) program are States (defined to include the District of Columbia), U.S. Territories (Puerto Rico, U.S. Virgin Islands, Guam, Northern </w:t>
      </w:r>
      <w:r w:rsidRPr="007E3F14">
        <w:rPr>
          <w:rFonts w:ascii="Arial" w:hAnsi="Arial" w:cs="Arial"/>
        </w:rPr>
        <w:lastRenderedPageBreak/>
        <w:t>Mariana Islands, and American Samoa), and certain local governments with more than 200,000 residents.</w:t>
      </w:r>
    </w:p>
    <w:p w14:paraId="2AF07659" w14:textId="09CE9156" w:rsidR="00437268" w:rsidRPr="00535056" w:rsidRDefault="00437268" w:rsidP="00535056">
      <w:pPr>
        <w:spacing w:after="240"/>
        <w:jc w:val="both"/>
        <w:rPr>
          <w:rFonts w:ascii="Arial" w:hAnsi="Arial" w:cs="Arial"/>
          <w:sz w:val="20"/>
        </w:rPr>
      </w:pPr>
      <w:r w:rsidRPr="00535056">
        <w:rPr>
          <w:rFonts w:ascii="Arial" w:hAnsi="Arial" w:cs="Arial"/>
          <w:sz w:val="20"/>
        </w:rPr>
        <w:t>(</w:t>
      </w:r>
      <w:r w:rsidRPr="00535056">
        <w:rPr>
          <w:rFonts w:ascii="Arial" w:hAnsi="Arial" w:cs="Arial"/>
          <w:sz w:val="20"/>
          <w:highlight w:val="green"/>
        </w:rPr>
        <w:t>CFAE Note:</w:t>
      </w:r>
      <w:r w:rsidRPr="00535056">
        <w:rPr>
          <w:rFonts w:ascii="Arial" w:hAnsi="Arial" w:cs="Arial"/>
          <w:sz w:val="20"/>
        </w:rPr>
        <w:t xml:space="preserve"> See </w:t>
      </w:r>
      <w:hyperlink r:id="rId36" w:history="1">
        <w:r w:rsidRPr="00535056">
          <w:rPr>
            <w:rStyle w:val="Hyperlink"/>
            <w:rFonts w:ascii="Arial" w:hAnsi="Arial" w:cs="Arial"/>
            <w:sz w:val="20"/>
          </w:rPr>
          <w:t>Treasury’s ERA website</w:t>
        </w:r>
      </w:hyperlink>
      <w:r w:rsidRPr="00535056">
        <w:rPr>
          <w:rFonts w:ascii="Arial" w:hAnsi="Arial" w:cs="Arial"/>
          <w:sz w:val="20"/>
        </w:rPr>
        <w:t>, Allocations and Payments page for further details on allocations of ERA 1 and ERA 2)</w:t>
      </w:r>
    </w:p>
    <w:p w14:paraId="64965AC6" w14:textId="40E96EF8" w:rsidR="00437268" w:rsidRPr="00535056" w:rsidRDefault="00437268" w:rsidP="00535056">
      <w:pPr>
        <w:spacing w:after="240"/>
        <w:jc w:val="both"/>
        <w:rPr>
          <w:rFonts w:ascii="Arial" w:hAnsi="Arial" w:cs="Arial"/>
          <w:sz w:val="20"/>
        </w:rPr>
      </w:pPr>
      <w:r w:rsidRPr="00535056">
        <w:rPr>
          <w:rFonts w:ascii="Arial" w:hAnsi="Arial" w:cs="Arial"/>
          <w:sz w:val="20"/>
        </w:rPr>
        <w:t xml:space="preserve">Auditors should also review </w:t>
      </w:r>
      <w:hyperlink r:id="rId37" w:history="1">
        <w:r w:rsidRPr="00535056">
          <w:rPr>
            <w:rStyle w:val="Hyperlink"/>
            <w:rFonts w:ascii="Arial" w:hAnsi="Arial" w:cs="Arial"/>
            <w:sz w:val="20"/>
          </w:rPr>
          <w:t>Treasury's ERA website</w:t>
        </w:r>
      </w:hyperlink>
      <w:r w:rsidRPr="00535056">
        <w:rPr>
          <w:rFonts w:ascii="Arial" w:hAnsi="Arial" w:cs="Arial"/>
          <w:sz w:val="20"/>
        </w:rPr>
        <w:t xml:space="preserve"> for FAQs, award templates, authorizing statutes, and other relevant resources. </w:t>
      </w:r>
    </w:p>
    <w:p w14:paraId="03B0752D" w14:textId="21C4093A" w:rsidR="003644ED" w:rsidRPr="00535056" w:rsidRDefault="00437268" w:rsidP="00535056">
      <w:pPr>
        <w:spacing w:after="240"/>
        <w:jc w:val="both"/>
        <w:rPr>
          <w:rFonts w:ascii="Arial" w:hAnsi="Arial" w:cs="Arial"/>
          <w:i/>
          <w:sz w:val="20"/>
        </w:rPr>
      </w:pPr>
      <w:r w:rsidRPr="00535056">
        <w:rPr>
          <w:rFonts w:ascii="Arial" w:hAnsi="Arial" w:cs="Arial"/>
          <w:i/>
          <w:sz w:val="20"/>
        </w:rPr>
        <w:t xml:space="preserve">(Source: </w:t>
      </w:r>
      <w:r w:rsidRPr="00535056">
        <w:rPr>
          <w:rFonts w:ascii="Arial" w:hAnsi="Arial" w:cs="Arial"/>
          <w:i/>
          <w:sz w:val="20"/>
          <w:highlight w:val="green"/>
        </w:rPr>
        <w:t>CFAE</w:t>
      </w:r>
      <w:r w:rsidR="00950585">
        <w:rPr>
          <w:rFonts w:ascii="Arial" w:hAnsi="Arial" w:cs="Arial"/>
          <w:i/>
          <w:sz w:val="20"/>
        </w:rPr>
        <w:t xml:space="preserve"> and</w:t>
      </w:r>
      <w:r w:rsidR="00950585" w:rsidRPr="00950585">
        <w:rPr>
          <w:rFonts w:ascii="Arial" w:hAnsi="Arial" w:cs="Arial"/>
          <w:i/>
          <w:sz w:val="20"/>
        </w:rPr>
        <w:t xml:space="preserve"> </w:t>
      </w:r>
      <w:hyperlink r:id="rId38" w:history="1">
        <w:r w:rsidR="00950585" w:rsidRPr="00950585">
          <w:rPr>
            <w:rStyle w:val="Hyperlink"/>
            <w:rFonts w:ascii="Arial" w:hAnsi="Arial" w:cs="Arial"/>
            <w:i/>
            <w:sz w:val="20"/>
          </w:rPr>
          <w:t>Allocations and Payments | U.S. Department of the Treasury</w:t>
        </w:r>
      </w:hyperlink>
      <w:r w:rsidR="00950585" w:rsidRPr="00950585">
        <w:rPr>
          <w:rFonts w:ascii="Arial" w:hAnsi="Arial" w:cs="Arial"/>
          <w:i/>
          <w:sz w:val="20"/>
        </w:rPr>
        <w:t>)</w:t>
      </w:r>
    </w:p>
    <w:p w14:paraId="76A49AA4" w14:textId="77777777" w:rsidR="003644ED" w:rsidRPr="00F00D94" w:rsidRDefault="003644ED" w:rsidP="006672EA">
      <w:pPr>
        <w:pStyle w:val="Heading3"/>
        <w:jc w:val="both"/>
        <w:rPr>
          <w:rFonts w:cs="Arial"/>
        </w:rPr>
      </w:pPr>
      <w:bookmarkStart w:id="17" w:name="_Toc116458412"/>
      <w:r w:rsidRPr="00F00D94">
        <w:rPr>
          <w:rFonts w:cs="Arial"/>
        </w:rPr>
        <w:t>Reporting</w:t>
      </w:r>
      <w:bookmarkEnd w:id="17"/>
    </w:p>
    <w:p w14:paraId="45EF60DD" w14:textId="3C4DE017"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39"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437268">
      <w:pPr>
        <w:pStyle w:val="ListParagraph"/>
        <w:numPr>
          <w:ilvl w:val="0"/>
          <w:numId w:val="33"/>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437268">
      <w:pPr>
        <w:pStyle w:val="ListParagraph"/>
        <w:numPr>
          <w:ilvl w:val="0"/>
          <w:numId w:val="33"/>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40"/>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18" w:name="_Toc442267685"/>
      <w:bookmarkStart w:id="19" w:name="_Toc116458413"/>
      <w:r w:rsidRPr="00F00D94">
        <w:rPr>
          <w:rFonts w:cs="Arial"/>
        </w:rPr>
        <w:lastRenderedPageBreak/>
        <w:t>PART III – APPLICABLE COMPLIANCE REQUIREMENTS</w:t>
      </w:r>
      <w:bookmarkEnd w:id="18"/>
      <w:bookmarkEnd w:id="19"/>
    </w:p>
    <w:p w14:paraId="5009BB8E" w14:textId="77777777" w:rsidR="007E5B12" w:rsidRPr="00F00D94" w:rsidRDefault="007E5B12" w:rsidP="006672EA">
      <w:pPr>
        <w:pStyle w:val="Heading2"/>
        <w:jc w:val="both"/>
        <w:rPr>
          <w:rFonts w:cs="Arial"/>
        </w:rPr>
      </w:pPr>
      <w:bookmarkStart w:id="20" w:name="_Toc442267686"/>
      <w:bookmarkStart w:id="21" w:name="_Toc116458414"/>
      <w:r w:rsidRPr="00F00D94">
        <w:rPr>
          <w:rFonts w:cs="Arial"/>
        </w:rPr>
        <w:t>A.  ACTIVITIES ALLOWED OR UNALLOWED</w:t>
      </w:r>
      <w:bookmarkEnd w:id="20"/>
      <w:bookmarkEnd w:id="21"/>
    </w:p>
    <w:p w14:paraId="206D1EF7" w14:textId="129AA561"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41"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51C7379B" w:rsidR="00885049" w:rsidRPr="00F00D94" w:rsidRDefault="00885049" w:rsidP="00AA5938">
      <w:pPr>
        <w:spacing w:after="240"/>
        <w:jc w:val="both"/>
        <w:rPr>
          <w:rFonts w:ascii="Arial" w:hAnsi="Arial" w:cs="Arial"/>
          <w:sz w:val="20"/>
        </w:rPr>
      </w:pPr>
      <w:bookmarkStart w:id="22" w:name="_Toc442267687"/>
      <w:r w:rsidRPr="00F00D94">
        <w:rPr>
          <w:rFonts w:ascii="Arial" w:hAnsi="Arial" w:cs="Arial"/>
          <w:sz w:val="20"/>
          <w:highlight w:val="yellow"/>
        </w:rPr>
        <w:t xml:space="preserve">All references to sections within 2 CFR Part 200 can be found </w:t>
      </w:r>
      <w:hyperlink r:id="rId42"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3" w:name="_Toc116458415"/>
      <w:r w:rsidRPr="00F00D94">
        <w:rPr>
          <w:rFonts w:cs="Arial"/>
        </w:rPr>
        <w:t xml:space="preserve">OMB </w:t>
      </w:r>
      <w:r w:rsidR="007E5B12" w:rsidRPr="00F00D94">
        <w:rPr>
          <w:rFonts w:cs="Arial"/>
        </w:rPr>
        <w:t>Compliance Requirements</w:t>
      </w:r>
      <w:bookmarkEnd w:id="22"/>
      <w:bookmarkEnd w:id="23"/>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62979527"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43"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44"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03E0A669" w14:textId="7E49D33D" w:rsidR="00A11C9E" w:rsidRPr="00A11C9E" w:rsidRDefault="00A11C9E" w:rsidP="00C015A8">
      <w:pPr>
        <w:pStyle w:val="BodyText"/>
        <w:jc w:val="both"/>
        <w:rPr>
          <w:rFonts w:ascii="Arial" w:hAnsi="Arial" w:cs="Arial"/>
          <w:sz w:val="20"/>
          <w:szCs w:val="20"/>
        </w:rPr>
      </w:pPr>
      <w:r w:rsidRPr="00A11C9E">
        <w:rPr>
          <w:rFonts w:ascii="Arial" w:hAnsi="Arial" w:cs="Arial"/>
          <w:color w:val="231F20"/>
          <w:sz w:val="20"/>
          <w:szCs w:val="20"/>
        </w:rPr>
        <w:t>ERA 1 and ERA 2 funds may be used for administrative expenses, housing stability services, and financial assistance on behalf of an eligible household, as defined in the Treasury guidance. In the case of ERA 2, after October 2022, grantees that have obligated 75 percent of their allocations may choose to use up to 25 percent of their allocation for, “other affordable rental housing and eviction prevention purposes, as defined by the Secretary, serving very low-income families.” As of March 1, 2022, Treasury had not yet released guidance to further define these additional uses.</w:t>
      </w:r>
    </w:p>
    <w:p w14:paraId="6A178EA2" w14:textId="52CB0EA1" w:rsidR="00A11C9E" w:rsidRPr="00A11C9E" w:rsidRDefault="00A11C9E" w:rsidP="00C015A8">
      <w:pPr>
        <w:pStyle w:val="BodyText"/>
        <w:spacing w:before="184"/>
        <w:jc w:val="both"/>
        <w:rPr>
          <w:rFonts w:ascii="Arial" w:hAnsi="Arial" w:cs="Arial"/>
          <w:sz w:val="20"/>
          <w:szCs w:val="20"/>
        </w:rPr>
      </w:pPr>
      <w:r w:rsidRPr="00A11C9E">
        <w:rPr>
          <w:rFonts w:ascii="Arial" w:hAnsi="Arial" w:cs="Arial"/>
          <w:color w:val="231F20"/>
          <w:sz w:val="20"/>
          <w:szCs w:val="20"/>
        </w:rPr>
        <w:t xml:space="preserve">Where applicable, the final ERA 1 payment amount distributed by Treasury to the ERA 1 grantee through an ERA 1 “redirect” and/or “reallocation” process, pursuant to Treasury’s Reallocation Guidance, is described on Treasury.gov. If a grantee receives redirected or reallocated funds, the funds are subject to the same requirements under the ERA 1 Award Terms previously accepted by the grantee in connection with their ERA 1 award with the addition that grantees receiving reallocated ERA 1 funds may request from Treasury an extension of their final obligation date from September 30, 2022, to December 29, 2022. Please see the ERA page at </w:t>
      </w:r>
      <w:hyperlink r:id="rId45" w:history="1">
        <w:r w:rsidRPr="00950585">
          <w:rPr>
            <w:rStyle w:val="Hyperlink"/>
            <w:rFonts w:ascii="Arial" w:hAnsi="Arial" w:cs="Arial"/>
            <w:sz w:val="20"/>
            <w:szCs w:val="20"/>
            <w:u w:color="2E75B5"/>
          </w:rPr>
          <w:t>Treasury.gov</w:t>
        </w:r>
      </w:hyperlink>
      <w:r w:rsidRPr="00A11C9E">
        <w:rPr>
          <w:rFonts w:ascii="Arial" w:hAnsi="Arial" w:cs="Arial"/>
          <w:color w:val="2E75B5"/>
          <w:sz w:val="20"/>
          <w:szCs w:val="20"/>
        </w:rPr>
        <w:t xml:space="preserve"> </w:t>
      </w:r>
      <w:r w:rsidRPr="00A11C9E">
        <w:rPr>
          <w:rFonts w:ascii="Arial" w:hAnsi="Arial" w:cs="Arial"/>
          <w:color w:val="231F20"/>
          <w:sz w:val="20"/>
          <w:szCs w:val="20"/>
        </w:rPr>
        <w:t xml:space="preserve">and </w:t>
      </w:r>
      <w:hyperlink r:id="rId46" w:history="1">
        <w:r w:rsidRPr="00950585">
          <w:rPr>
            <w:rStyle w:val="Hyperlink"/>
            <w:rFonts w:ascii="Arial" w:hAnsi="Arial" w:cs="Arial"/>
            <w:sz w:val="20"/>
            <w:szCs w:val="20"/>
            <w:u w:color="2E75B5"/>
          </w:rPr>
          <w:t>ERA FAQs</w:t>
        </w:r>
      </w:hyperlink>
      <w:r w:rsidRPr="00A11C9E">
        <w:rPr>
          <w:rFonts w:ascii="Arial" w:hAnsi="Arial" w:cs="Arial"/>
          <w:color w:val="2E75B5"/>
          <w:sz w:val="20"/>
          <w:szCs w:val="20"/>
        </w:rPr>
        <w:t xml:space="preserve"> </w:t>
      </w:r>
      <w:r w:rsidRPr="00A11C9E">
        <w:rPr>
          <w:rFonts w:ascii="Arial" w:hAnsi="Arial" w:cs="Arial"/>
          <w:color w:val="231F20"/>
          <w:sz w:val="20"/>
          <w:szCs w:val="20"/>
        </w:rPr>
        <w:t>for the latest guidance regarding eligible uses under ERA 1 and ERA</w:t>
      </w:r>
      <w:r w:rsidRPr="00A11C9E">
        <w:rPr>
          <w:rFonts w:ascii="Arial" w:hAnsi="Arial" w:cs="Arial"/>
          <w:color w:val="231F20"/>
          <w:spacing w:val="-11"/>
          <w:sz w:val="20"/>
          <w:szCs w:val="20"/>
        </w:rPr>
        <w:t xml:space="preserve"> </w:t>
      </w:r>
      <w:r w:rsidRPr="00A11C9E">
        <w:rPr>
          <w:rFonts w:ascii="Arial" w:hAnsi="Arial" w:cs="Arial"/>
          <w:color w:val="231F20"/>
          <w:sz w:val="20"/>
          <w:szCs w:val="20"/>
        </w:rPr>
        <w:t>2.</w:t>
      </w:r>
    </w:p>
    <w:p w14:paraId="20F42538" w14:textId="74EEB241" w:rsidR="00A11C9E" w:rsidRPr="00A11C9E" w:rsidRDefault="00A11C9E" w:rsidP="00C015A8">
      <w:pPr>
        <w:pStyle w:val="BodyText"/>
        <w:jc w:val="both"/>
        <w:rPr>
          <w:rFonts w:ascii="Arial" w:hAnsi="Arial" w:cs="Arial"/>
          <w:sz w:val="20"/>
          <w:szCs w:val="20"/>
        </w:rPr>
      </w:pPr>
      <w:r w:rsidRPr="00A11C9E">
        <w:rPr>
          <w:rFonts w:ascii="Arial" w:hAnsi="Arial" w:cs="Arial"/>
          <w:b/>
          <w:color w:val="231F20"/>
          <w:sz w:val="20"/>
          <w:szCs w:val="20"/>
        </w:rPr>
        <w:t xml:space="preserve">Administrative Expenses: </w:t>
      </w:r>
      <w:r w:rsidRPr="00A11C9E">
        <w:rPr>
          <w:rFonts w:ascii="Arial" w:hAnsi="Arial" w:cs="Arial"/>
          <w:color w:val="231F20"/>
          <w:sz w:val="20"/>
          <w:szCs w:val="20"/>
        </w:rPr>
        <w:t>The revised Award Terms for ERA 1 and ERA 2 awards issued by Treasury permits ERA grantees to use award funds provided to cover both direct and indirect administrative costs. The cost of a grantee contacting a landlord to encourage their participation and acceptance of ERA assistance is one of many examples of an eligible administrative cost. Under ERA 1, a grantee may use up to 10 percent of the total award amount for direct and indirect administrative costs and may use up to 10 percent of the total award amount for housing stability services. Under ERA 2, a grantee may use up to 15 percent of the total award amount for direct and indirect administrative costs and may use up to 10 percent of the total award amount for housing stability services as described below (see also FAQ 29).</w:t>
      </w:r>
    </w:p>
    <w:p w14:paraId="50133180" w14:textId="55326C34" w:rsidR="00A11C9E" w:rsidRPr="00A11C9E" w:rsidRDefault="00A11C9E" w:rsidP="00C015A8">
      <w:pPr>
        <w:pStyle w:val="BodyText"/>
        <w:jc w:val="both"/>
        <w:rPr>
          <w:rFonts w:ascii="Arial" w:hAnsi="Arial" w:cs="Arial"/>
          <w:sz w:val="20"/>
          <w:szCs w:val="20"/>
        </w:rPr>
      </w:pPr>
      <w:r w:rsidRPr="00A11C9E">
        <w:rPr>
          <w:rFonts w:ascii="Arial" w:hAnsi="Arial" w:cs="Arial"/>
          <w:b/>
          <w:color w:val="231F20"/>
          <w:sz w:val="20"/>
          <w:szCs w:val="20"/>
        </w:rPr>
        <w:t xml:space="preserve">Housing Stability Services: </w:t>
      </w:r>
      <w:r w:rsidRPr="00A11C9E">
        <w:rPr>
          <w:rFonts w:ascii="Arial" w:hAnsi="Arial" w:cs="Arial"/>
          <w:color w:val="231F20"/>
          <w:sz w:val="20"/>
          <w:szCs w:val="20"/>
        </w:rPr>
        <w:t>Under ERA 1, housing stability services includes case management and other services related to the COVID-19 outbreak intended to help keep households stably housed. Under ERA 2, housing stability services do not have to be related to the COVID-19 outbreak. For ERA 1 and ERA 2, housing stability services include those that enable households to maintain or obtain housing. Such services may include, among other things, eviction prevention and eviction diversion programs; mediation between landlords and tenants; housing counseling; fair housing counseling; housing navigators or promotors that help households access programs or find housing; case management related to housing stability; housing-related services for survivors of domestic abuse or human trafficking; legal services or attorney’s fees related to eviction proceedings and maintaining housing stability; and specialized services for individuals with disabilities or seniors that support their ability to access or maintain housing (see FAQ 23).</w:t>
      </w:r>
    </w:p>
    <w:p w14:paraId="3B4870F0" w14:textId="3E84CD85" w:rsidR="00A11C9E" w:rsidRPr="00A11C9E" w:rsidRDefault="00A11C9E" w:rsidP="00C015A8">
      <w:pPr>
        <w:pStyle w:val="BodyText"/>
        <w:spacing w:before="1"/>
        <w:jc w:val="both"/>
        <w:rPr>
          <w:rFonts w:ascii="Arial" w:hAnsi="Arial" w:cs="Arial"/>
          <w:sz w:val="20"/>
          <w:szCs w:val="20"/>
        </w:rPr>
      </w:pPr>
      <w:r w:rsidRPr="00A11C9E">
        <w:rPr>
          <w:rFonts w:ascii="Arial" w:hAnsi="Arial" w:cs="Arial"/>
          <w:b/>
          <w:color w:val="231F20"/>
          <w:sz w:val="20"/>
          <w:szCs w:val="20"/>
        </w:rPr>
        <w:t xml:space="preserve">Financial Assistance: </w:t>
      </w:r>
      <w:r w:rsidRPr="00A11C9E">
        <w:rPr>
          <w:rFonts w:ascii="Arial" w:hAnsi="Arial" w:cs="Arial"/>
          <w:color w:val="231F20"/>
          <w:sz w:val="20"/>
          <w:szCs w:val="20"/>
        </w:rPr>
        <w:t>Financial assistance to households includes payment of rent, rental arrears, utilities and home energy costs, utility and home energy costs arrears, and other expenses related to housing pursuant to section 501(c)(2)(A) of the Act and section 3201(d)(1)(A) of ARPA. Please note that under the ERA1 program, award funds used for “other expenses” must be related to housing and “incurred due, directly indirectly, to the novel coronavirus disease (COVID-19) outbreak” (see section 501(c)(2)(A)(v) of the Act). However, the ERA2 statute requires that “other expenses” be “related to housing” but does not require that they be incurred due to the COVID-19 outbreak (see section 3201(d)(1)(A)(V) of ARPA). The amount of financial assistance for prospective rent cannot exceed three months under a single household application. There is no maximum dollar amount for the cumulative financial assistance that may be provided on behalf of</w:t>
      </w:r>
      <w:r w:rsidRPr="00A11C9E">
        <w:rPr>
          <w:rFonts w:ascii="Arial" w:hAnsi="Arial" w:cs="Arial"/>
          <w:sz w:val="20"/>
          <w:szCs w:val="20"/>
        </w:rPr>
        <w:t xml:space="preserve"> </w:t>
      </w:r>
      <w:r w:rsidRPr="00A11C9E">
        <w:rPr>
          <w:rFonts w:ascii="Arial" w:hAnsi="Arial" w:cs="Arial"/>
          <w:color w:val="231F20"/>
          <w:sz w:val="20"/>
          <w:szCs w:val="20"/>
        </w:rPr>
        <w:t>an eligible household beyond the requirements set forth in the ERA FAQs. These requirements include that amounts paid be based on documentation of household income, leases, and equivalent forms (or for applicants unable to present adequate documentation, a written attestation from the applicant up to a monthly maximum of 100 percent of the greater of the Fair Market Rent or the Small Area Fair Market Rent for the area in which the applicant resides) and that the amount of assistance provided to any household under ERA 1 and ERA 2, including assistance provided by other ERA 1 and ERA 2 grantees cannot exceed 18 months.</w:t>
      </w:r>
    </w:p>
    <w:p w14:paraId="4E26C055" w14:textId="5F5C3B48" w:rsidR="00A11C9E" w:rsidRPr="00A11C9E" w:rsidRDefault="00A11C9E" w:rsidP="00C015A8">
      <w:pPr>
        <w:pStyle w:val="BodyText"/>
        <w:jc w:val="both"/>
        <w:rPr>
          <w:rFonts w:ascii="Arial" w:hAnsi="Arial" w:cs="Arial"/>
          <w:sz w:val="20"/>
          <w:szCs w:val="20"/>
        </w:rPr>
      </w:pPr>
      <w:r w:rsidRPr="00A11C9E">
        <w:rPr>
          <w:rFonts w:ascii="Arial" w:hAnsi="Arial" w:cs="Arial"/>
          <w:color w:val="231F20"/>
          <w:sz w:val="20"/>
          <w:szCs w:val="20"/>
        </w:rPr>
        <w:lastRenderedPageBreak/>
        <w:t>Financial assistance arrears may only cover household expenses accrued on or after March 13, 2020, up to a maximum of 15 months for ERA 1 and a maximum of 18 months, under ERA 1 and ERA 2 combined. For prospective rent assistance greater than three months up to the statutory maximum of 18 months under ERA 1 and ERA 2, the household must apply to the program again and the grantee must have sufficient funds. Households may receive up to 12 months of assistance under ERA 1 and an additional three months if necessary to ensure housing stability for the household for a total of three months. This means that for ERA 1, the maximum rental arrears monthly coverage period, where applicable, is 15 months where necessary for housing stability and households may only receive up to three months of prospective rent, where applicable and qualifying (see FAQ 10).</w:t>
      </w:r>
    </w:p>
    <w:p w14:paraId="76D94E8A" w14:textId="4A88868D" w:rsidR="00A11C9E" w:rsidRPr="00A11C9E" w:rsidRDefault="00A11C9E" w:rsidP="00950585">
      <w:pPr>
        <w:pStyle w:val="BodyText"/>
        <w:jc w:val="both"/>
        <w:rPr>
          <w:rFonts w:ascii="Arial" w:hAnsi="Arial" w:cs="Arial"/>
          <w:sz w:val="20"/>
          <w:szCs w:val="20"/>
        </w:rPr>
      </w:pPr>
      <w:r w:rsidRPr="00A11C9E">
        <w:rPr>
          <w:rFonts w:ascii="Arial" w:hAnsi="Arial" w:cs="Arial"/>
          <w:color w:val="231F20"/>
          <w:sz w:val="20"/>
          <w:szCs w:val="20"/>
        </w:rPr>
        <w:t>Examples of other costs for both ERA 1 and ERA 2 include relocation expenses (including prospective relocation expenses), rental security deposits, rental fees including application and screening fees, reasonable accrued late fees, Internet service to a given rental unit, and rental bonds where necessary to avoid an eviction order, as provided in the Treasury guidance and subject to certain conditions (for example, that Internet service expenses are eligible only if grantees establish policies governing the appropriate of use for this purpose).</w:t>
      </w:r>
    </w:p>
    <w:p w14:paraId="5924D5B7" w14:textId="52FD2083" w:rsidR="00A11C9E" w:rsidRDefault="00A11C9E" w:rsidP="00950585">
      <w:pPr>
        <w:spacing w:after="240"/>
        <w:jc w:val="both"/>
        <w:rPr>
          <w:rFonts w:ascii="Arial" w:hAnsi="Arial" w:cs="Arial"/>
          <w:bCs/>
          <w:i/>
          <w:sz w:val="20"/>
        </w:rPr>
      </w:pPr>
      <w:r w:rsidRPr="00A11C9E">
        <w:rPr>
          <w:rFonts w:ascii="Arial" w:hAnsi="Arial" w:cs="Arial"/>
          <w:b/>
          <w:color w:val="231F20"/>
          <w:sz w:val="20"/>
        </w:rPr>
        <w:t xml:space="preserve">Other Affordable Rental Housing and Eviction Prevention Purposes: </w:t>
      </w:r>
      <w:r w:rsidRPr="00A11C9E">
        <w:rPr>
          <w:rFonts w:ascii="Arial" w:hAnsi="Arial" w:cs="Arial"/>
          <w:color w:val="231F20"/>
          <w:sz w:val="20"/>
        </w:rPr>
        <w:t>Treasury anticipates releasing an FAQ soon to further define these uses.</w:t>
      </w:r>
    </w:p>
    <w:p w14:paraId="0FE635A6" w14:textId="53D51C41" w:rsidR="00A11C9E" w:rsidRPr="00F00D94" w:rsidRDefault="00A11C9E" w:rsidP="00950585">
      <w:pPr>
        <w:spacing w:after="240"/>
        <w:jc w:val="both"/>
        <w:rPr>
          <w:rFonts w:ascii="Arial" w:hAnsi="Arial" w:cs="Arial"/>
          <w:b/>
          <w:sz w:val="20"/>
        </w:rPr>
      </w:pPr>
      <w:r w:rsidRPr="00BC7F42">
        <w:rPr>
          <w:rFonts w:ascii="Arial" w:hAnsi="Arial" w:cs="Arial"/>
          <w:bCs/>
          <w:i/>
          <w:sz w:val="20"/>
        </w:rPr>
        <w:t xml:space="preserve">(Source: </w:t>
      </w:r>
      <w:r>
        <w:rPr>
          <w:rFonts w:ascii="Arial" w:hAnsi="Arial" w:cs="Arial"/>
          <w:bCs/>
          <w:i/>
          <w:sz w:val="20"/>
        </w:rPr>
        <w:t>2022 OMB Compliance Supplement, Part 4, Treasury, Emergency Rental Assistance Program)</w:t>
      </w:r>
    </w:p>
    <w:p w14:paraId="0A90B4EE" w14:textId="77777777" w:rsidR="00A712B0" w:rsidRPr="00F00D94" w:rsidRDefault="00A712B0" w:rsidP="006672EA">
      <w:pPr>
        <w:pStyle w:val="Heading3"/>
        <w:jc w:val="both"/>
        <w:rPr>
          <w:rFonts w:cs="Arial"/>
        </w:rPr>
      </w:pPr>
      <w:bookmarkStart w:id="24" w:name="_Toc442267688"/>
      <w:bookmarkStart w:id="25" w:name="_Toc116458416"/>
      <w:r w:rsidRPr="00F00D94">
        <w:rPr>
          <w:rFonts w:cs="Arial"/>
        </w:rPr>
        <w:t>Additional Program Specific Information</w:t>
      </w:r>
      <w:bookmarkEnd w:id="24"/>
      <w:bookmarkEnd w:id="25"/>
    </w:p>
    <w:p w14:paraId="6C79B45F" w14:textId="31A9BB36" w:rsidR="00A712B0" w:rsidRPr="00F00D94" w:rsidRDefault="003644ED" w:rsidP="006672EA">
      <w:pP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Activities Allowed and Unallowed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57EFB075" w14:textId="77777777" w:rsidR="00E41AA1" w:rsidRPr="00F00D94" w:rsidRDefault="00072C5E" w:rsidP="00F00D94">
      <w:pPr>
        <w:pStyle w:val="Heading3"/>
      </w:pPr>
      <w:bookmarkStart w:id="26" w:name="_Toc116458417"/>
      <w:r w:rsidRPr="00F00D94">
        <w:t>Audit Objectives</w:t>
      </w:r>
      <w:r w:rsidR="00EF51CC" w:rsidRPr="00F00D94">
        <w:t xml:space="preserve"> and Control Testing</w:t>
      </w:r>
      <w:bookmarkEnd w:id="26"/>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577FD90A" w:rsidR="00B85001" w:rsidRPr="00F00D94" w:rsidRDefault="00B013E4" w:rsidP="00437268">
      <w:pPr>
        <w:pStyle w:val="BodyText"/>
        <w:widowControl w:val="0"/>
        <w:numPr>
          <w:ilvl w:val="0"/>
          <w:numId w:val="36"/>
        </w:numPr>
        <w:autoSpaceDE w:val="0"/>
        <w:autoSpaceDN w:val="0"/>
        <w:spacing w:after="0"/>
        <w:rPr>
          <w:rFonts w:ascii="Arial" w:hAnsi="Arial" w:cs="Arial"/>
          <w:sz w:val="20"/>
          <w:szCs w:val="20"/>
        </w:rPr>
      </w:pPr>
      <w:hyperlink r:id="rId47"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5EB626FA" w:rsidR="00B85001" w:rsidRPr="00F00D94" w:rsidRDefault="00B013E4" w:rsidP="00437268">
      <w:pPr>
        <w:pStyle w:val="BodyText"/>
        <w:widowControl w:val="0"/>
        <w:numPr>
          <w:ilvl w:val="0"/>
          <w:numId w:val="36"/>
        </w:numPr>
        <w:autoSpaceDE w:val="0"/>
        <w:autoSpaceDN w:val="0"/>
        <w:spacing w:after="0"/>
        <w:rPr>
          <w:rFonts w:ascii="Arial" w:hAnsi="Arial" w:cs="Arial"/>
          <w:sz w:val="20"/>
          <w:szCs w:val="20"/>
        </w:rPr>
      </w:pPr>
      <w:hyperlink r:id="rId48" w:history="1">
        <w:r w:rsidR="00B85001" w:rsidRPr="00F00D94">
          <w:rPr>
            <w:rStyle w:val="Hyperlink"/>
            <w:rFonts w:ascii="Arial" w:hAnsi="Arial" w:cs="Arial"/>
            <w:sz w:val="20"/>
            <w:szCs w:val="20"/>
          </w:rPr>
          <w:t>2013 COSO</w:t>
        </w:r>
      </w:hyperlink>
    </w:p>
    <w:p w14:paraId="0F5881B2" w14:textId="0D023691" w:rsidR="00B85001" w:rsidRPr="00F00D94" w:rsidRDefault="00B013E4" w:rsidP="00437268">
      <w:pPr>
        <w:pStyle w:val="BodyText"/>
        <w:widowControl w:val="0"/>
        <w:numPr>
          <w:ilvl w:val="0"/>
          <w:numId w:val="36"/>
        </w:numPr>
        <w:autoSpaceDE w:val="0"/>
        <w:autoSpaceDN w:val="0"/>
        <w:rPr>
          <w:rStyle w:val="Hyperlink"/>
          <w:rFonts w:ascii="Arial" w:hAnsi="Arial" w:cs="Arial"/>
          <w:color w:val="auto"/>
          <w:sz w:val="20"/>
          <w:szCs w:val="20"/>
          <w:u w:val="none"/>
        </w:rPr>
      </w:pPr>
      <w:hyperlink r:id="rId49"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437268">
      <w:pPr>
        <w:pStyle w:val="ListParagraph"/>
        <w:widowControl w:val="0"/>
        <w:numPr>
          <w:ilvl w:val="0"/>
          <w:numId w:val="35"/>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437268">
      <w:pPr>
        <w:pStyle w:val="ListParagraph"/>
        <w:widowControl w:val="0"/>
        <w:numPr>
          <w:ilvl w:val="0"/>
          <w:numId w:val="35"/>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lastRenderedPageBreak/>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27" w:name="_Toc116458418"/>
      <w:r w:rsidRPr="00F00D94">
        <w:rPr>
          <w:rFonts w:cs="Arial"/>
        </w:rPr>
        <w:t>Suggested Audit Procedures – Compliance</w:t>
      </w:r>
      <w:bookmarkEnd w:id="27"/>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77777777" w:rsidR="00C920B4" w:rsidRPr="00F00D94" w:rsidRDefault="00C920B4" w:rsidP="006672EA">
            <w:pPr>
              <w:pStyle w:val="APStepItem"/>
              <w:numPr>
                <w:ilvl w:val="0"/>
                <w:numId w:val="0"/>
              </w:numPr>
              <w:tabs>
                <w:tab w:val="num" w:pos="1170"/>
              </w:tabs>
              <w:ind w:left="360"/>
              <w:rPr>
                <w:rFonts w:cs="Arial"/>
                <w:b/>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28" w:name="_Toc116458419"/>
      <w:r w:rsidRPr="00F00D94">
        <w:rPr>
          <w:rFonts w:cs="Arial"/>
        </w:rPr>
        <w:t>Audit Implications Summary</w:t>
      </w:r>
      <w:bookmarkEnd w:id="28"/>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437268">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deficiencies and </w:t>
            </w:r>
            <w:r w:rsidRPr="00F00D94">
              <w:rPr>
                <w:rFonts w:ascii="Arial" w:hAnsi="Arial" w:cs="Arial"/>
                <w:b/>
                <w:sz w:val="20"/>
              </w:rPr>
              <w:lastRenderedPageBreak/>
              <w:t>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437268">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437268">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437268">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437268">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50"/>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29" w:name="_Toc442267689"/>
      <w:bookmarkStart w:id="30" w:name="_Toc116458420"/>
      <w:r w:rsidRPr="00F00D94">
        <w:rPr>
          <w:rFonts w:cs="Arial"/>
        </w:rPr>
        <w:lastRenderedPageBreak/>
        <w:t>B.  ALLOWABLE COSTS/COST PRINCIPLES</w:t>
      </w:r>
      <w:bookmarkEnd w:id="29"/>
      <w:bookmarkEnd w:id="30"/>
    </w:p>
    <w:p w14:paraId="3D6593B3" w14:textId="28F401D0"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51"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0C8ECD96" w:rsidR="000A2F8F" w:rsidRPr="00F00D94" w:rsidRDefault="000A2F8F" w:rsidP="00933AAB">
      <w:pPr>
        <w:spacing w:after="240"/>
        <w:jc w:val="both"/>
        <w:rPr>
          <w:rFonts w:ascii="Arial" w:hAnsi="Arial" w:cs="Arial"/>
          <w:sz w:val="20"/>
        </w:rPr>
      </w:pPr>
      <w:bookmarkStart w:id="31" w:name="B___ALLOWABLE_COSTS_COST_PRINCIPLES"/>
      <w:bookmarkEnd w:id="31"/>
      <w:r w:rsidRPr="00F00D94">
        <w:rPr>
          <w:rFonts w:ascii="Arial" w:hAnsi="Arial" w:cs="Arial"/>
          <w:sz w:val="20"/>
          <w:highlight w:val="yellow"/>
        </w:rPr>
        <w:t xml:space="preserve">All references to sections within 2 CFR Part 200 can be found </w:t>
      </w:r>
      <w:hyperlink r:id="rId52"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2" w:name="_Toc116458421"/>
      <w:r w:rsidRPr="00F00D94">
        <w:rPr>
          <w:rFonts w:cs="Arial"/>
        </w:rPr>
        <w:t>Applicability of Cost Principles</w:t>
      </w:r>
      <w:bookmarkEnd w:id="32"/>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States, local governments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5D71B461"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the cost principles requirements apply to all Federal awards with the exception of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53"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950585">
      <w:pPr>
        <w:rPr>
          <w:rFonts w:ascii="Arial" w:hAnsi="Arial" w:cs="Arial"/>
          <w:b/>
          <w:sz w:val="20"/>
        </w:rPr>
      </w:pPr>
      <w:r w:rsidRPr="00F00D94">
        <w:rPr>
          <w:rFonts w:ascii="Arial" w:hAnsi="Arial" w:cs="Arial"/>
          <w:b/>
          <w:sz w:val="20"/>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lastRenderedPageBreak/>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437268">
      <w:pPr>
        <w:pStyle w:val="ListParagraph"/>
        <w:numPr>
          <w:ilvl w:val="0"/>
          <w:numId w:val="32"/>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6A4270DA"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54"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55"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Except where otherwise authorized by statute, cost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11F03D94" w:rsidR="00545700" w:rsidRPr="00F00D94" w:rsidRDefault="00B013E4" w:rsidP="006672EA">
      <w:pPr>
        <w:spacing w:after="240"/>
        <w:jc w:val="both"/>
        <w:rPr>
          <w:rFonts w:ascii="Arial" w:hAnsi="Arial" w:cs="Arial"/>
          <w:sz w:val="20"/>
        </w:rPr>
      </w:pPr>
      <w:hyperlink r:id="rId56"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629E749D" w14:textId="33D30EFA" w:rsidR="003C616C" w:rsidRPr="003C616C" w:rsidRDefault="003C616C" w:rsidP="00950585">
      <w:pPr>
        <w:pStyle w:val="BodyText"/>
        <w:jc w:val="both"/>
        <w:rPr>
          <w:rFonts w:ascii="Arial" w:hAnsi="Arial" w:cs="Arial"/>
          <w:sz w:val="20"/>
          <w:szCs w:val="20"/>
        </w:rPr>
      </w:pPr>
      <w:r w:rsidRPr="003C616C">
        <w:rPr>
          <w:rFonts w:ascii="Arial" w:hAnsi="Arial" w:cs="Arial"/>
          <w:color w:val="231F20"/>
          <w:sz w:val="20"/>
          <w:szCs w:val="20"/>
        </w:rPr>
        <w:t>The cost principles in 2 CFR Part 200, Subpart E (Cost Principles) except the 2 CFR</w:t>
      </w:r>
      <w:r w:rsidRPr="003C616C">
        <w:rPr>
          <w:rFonts w:ascii="Arial" w:hAnsi="Arial" w:cs="Arial"/>
          <w:sz w:val="20"/>
          <w:szCs w:val="20"/>
        </w:rPr>
        <w:t xml:space="preserve"> </w:t>
      </w:r>
      <w:r w:rsidRPr="003C616C">
        <w:rPr>
          <w:rFonts w:ascii="Arial" w:hAnsi="Arial" w:cs="Arial"/>
          <w:color w:val="231F20"/>
          <w:sz w:val="20"/>
          <w:szCs w:val="20"/>
        </w:rPr>
        <w:t>200.418 and 2 CFR 200.419 apply to ERA 1 and ERA 2. Under ERA 1, a grantee may use</w:t>
      </w:r>
      <w:r w:rsidRPr="003C616C">
        <w:rPr>
          <w:rFonts w:ascii="Arial" w:hAnsi="Arial" w:cs="Arial"/>
          <w:color w:val="231F20"/>
          <w:spacing w:val="-5"/>
          <w:sz w:val="20"/>
          <w:szCs w:val="20"/>
        </w:rPr>
        <w:t xml:space="preserve"> </w:t>
      </w:r>
      <w:r w:rsidRPr="003C616C">
        <w:rPr>
          <w:rFonts w:ascii="Arial" w:hAnsi="Arial" w:cs="Arial"/>
          <w:color w:val="231F20"/>
          <w:sz w:val="20"/>
          <w:szCs w:val="20"/>
        </w:rPr>
        <w:t>up</w:t>
      </w:r>
      <w:r w:rsidRPr="003C616C">
        <w:rPr>
          <w:rFonts w:ascii="Arial" w:hAnsi="Arial" w:cs="Arial"/>
          <w:color w:val="231F20"/>
          <w:spacing w:val="-5"/>
          <w:sz w:val="20"/>
          <w:szCs w:val="20"/>
        </w:rPr>
        <w:t xml:space="preserve"> </w:t>
      </w:r>
      <w:r w:rsidRPr="003C616C">
        <w:rPr>
          <w:rFonts w:ascii="Arial" w:hAnsi="Arial" w:cs="Arial"/>
          <w:color w:val="231F20"/>
          <w:sz w:val="20"/>
          <w:szCs w:val="20"/>
        </w:rPr>
        <w:t>to</w:t>
      </w:r>
      <w:r w:rsidRPr="003C616C">
        <w:rPr>
          <w:rFonts w:ascii="Arial" w:hAnsi="Arial" w:cs="Arial"/>
          <w:color w:val="231F20"/>
          <w:spacing w:val="-5"/>
          <w:sz w:val="20"/>
          <w:szCs w:val="20"/>
        </w:rPr>
        <w:t xml:space="preserve"> </w:t>
      </w:r>
      <w:r w:rsidRPr="003C616C">
        <w:rPr>
          <w:rFonts w:ascii="Arial" w:hAnsi="Arial" w:cs="Arial"/>
          <w:color w:val="231F20"/>
          <w:sz w:val="20"/>
          <w:szCs w:val="20"/>
        </w:rPr>
        <w:t>10</w:t>
      </w:r>
      <w:r w:rsidRPr="003C616C">
        <w:rPr>
          <w:rFonts w:ascii="Arial" w:hAnsi="Arial" w:cs="Arial"/>
          <w:color w:val="231F20"/>
          <w:spacing w:val="-4"/>
          <w:sz w:val="20"/>
          <w:szCs w:val="20"/>
        </w:rPr>
        <w:t xml:space="preserve"> </w:t>
      </w:r>
      <w:r w:rsidRPr="003C616C">
        <w:rPr>
          <w:rFonts w:ascii="Arial" w:hAnsi="Arial" w:cs="Arial"/>
          <w:color w:val="231F20"/>
          <w:sz w:val="20"/>
          <w:szCs w:val="20"/>
        </w:rPr>
        <w:t>percent</w:t>
      </w:r>
      <w:r w:rsidRPr="003C616C">
        <w:rPr>
          <w:rFonts w:ascii="Arial" w:hAnsi="Arial" w:cs="Arial"/>
          <w:color w:val="231F20"/>
          <w:spacing w:val="-5"/>
          <w:sz w:val="20"/>
          <w:szCs w:val="20"/>
        </w:rPr>
        <w:t xml:space="preserve"> </w:t>
      </w:r>
      <w:r w:rsidRPr="003C616C">
        <w:rPr>
          <w:rFonts w:ascii="Arial" w:hAnsi="Arial" w:cs="Arial"/>
          <w:color w:val="231F20"/>
          <w:sz w:val="20"/>
          <w:szCs w:val="20"/>
        </w:rPr>
        <w:t>of</w:t>
      </w:r>
      <w:r w:rsidRPr="003C616C">
        <w:rPr>
          <w:rFonts w:ascii="Arial" w:hAnsi="Arial" w:cs="Arial"/>
          <w:color w:val="231F20"/>
          <w:spacing w:val="-5"/>
          <w:sz w:val="20"/>
          <w:szCs w:val="20"/>
        </w:rPr>
        <w:t xml:space="preserve"> </w:t>
      </w:r>
      <w:r w:rsidRPr="003C616C">
        <w:rPr>
          <w:rFonts w:ascii="Arial" w:hAnsi="Arial" w:cs="Arial"/>
          <w:color w:val="231F20"/>
          <w:sz w:val="20"/>
          <w:szCs w:val="20"/>
        </w:rPr>
        <w:t>the</w:t>
      </w:r>
      <w:r w:rsidRPr="003C616C">
        <w:rPr>
          <w:rFonts w:ascii="Arial" w:hAnsi="Arial" w:cs="Arial"/>
          <w:color w:val="231F20"/>
          <w:spacing w:val="-4"/>
          <w:sz w:val="20"/>
          <w:szCs w:val="20"/>
        </w:rPr>
        <w:t xml:space="preserve"> </w:t>
      </w:r>
      <w:r w:rsidRPr="003C616C">
        <w:rPr>
          <w:rFonts w:ascii="Arial" w:hAnsi="Arial" w:cs="Arial"/>
          <w:color w:val="231F20"/>
          <w:sz w:val="20"/>
          <w:szCs w:val="20"/>
        </w:rPr>
        <w:t>total</w:t>
      </w:r>
      <w:r w:rsidRPr="003C616C">
        <w:rPr>
          <w:rFonts w:ascii="Arial" w:hAnsi="Arial" w:cs="Arial"/>
          <w:color w:val="231F20"/>
          <w:spacing w:val="-5"/>
          <w:sz w:val="20"/>
          <w:szCs w:val="20"/>
        </w:rPr>
        <w:t xml:space="preserve"> </w:t>
      </w:r>
      <w:r w:rsidRPr="003C616C">
        <w:rPr>
          <w:rFonts w:ascii="Arial" w:hAnsi="Arial" w:cs="Arial"/>
          <w:color w:val="231F20"/>
          <w:sz w:val="20"/>
          <w:szCs w:val="20"/>
        </w:rPr>
        <w:t>award</w:t>
      </w:r>
      <w:r w:rsidRPr="003C616C">
        <w:rPr>
          <w:rFonts w:ascii="Arial" w:hAnsi="Arial" w:cs="Arial"/>
          <w:color w:val="231F20"/>
          <w:spacing w:val="-2"/>
          <w:sz w:val="20"/>
          <w:szCs w:val="20"/>
        </w:rPr>
        <w:t xml:space="preserve"> </w:t>
      </w:r>
      <w:r w:rsidRPr="003C616C">
        <w:rPr>
          <w:rFonts w:ascii="Arial" w:hAnsi="Arial" w:cs="Arial"/>
          <w:color w:val="231F20"/>
          <w:sz w:val="20"/>
          <w:szCs w:val="20"/>
        </w:rPr>
        <w:t>amount</w:t>
      </w:r>
      <w:r w:rsidRPr="003C616C">
        <w:rPr>
          <w:rFonts w:ascii="Arial" w:hAnsi="Arial" w:cs="Arial"/>
          <w:color w:val="231F20"/>
          <w:spacing w:val="-4"/>
          <w:sz w:val="20"/>
          <w:szCs w:val="20"/>
        </w:rPr>
        <w:t xml:space="preserve"> </w:t>
      </w:r>
      <w:r w:rsidRPr="003C616C">
        <w:rPr>
          <w:rFonts w:ascii="Arial" w:hAnsi="Arial" w:cs="Arial"/>
          <w:color w:val="231F20"/>
          <w:sz w:val="20"/>
          <w:szCs w:val="20"/>
        </w:rPr>
        <w:t>for</w:t>
      </w:r>
      <w:r w:rsidRPr="003C616C">
        <w:rPr>
          <w:rFonts w:ascii="Arial" w:hAnsi="Arial" w:cs="Arial"/>
          <w:color w:val="231F20"/>
          <w:spacing w:val="-3"/>
          <w:sz w:val="20"/>
          <w:szCs w:val="20"/>
        </w:rPr>
        <w:t xml:space="preserve"> </w:t>
      </w:r>
      <w:r w:rsidRPr="003C616C">
        <w:rPr>
          <w:rFonts w:ascii="Arial" w:hAnsi="Arial" w:cs="Arial"/>
          <w:color w:val="231F20"/>
          <w:sz w:val="20"/>
          <w:szCs w:val="20"/>
        </w:rPr>
        <w:t>direct</w:t>
      </w:r>
      <w:r w:rsidRPr="003C616C">
        <w:rPr>
          <w:rFonts w:ascii="Arial" w:hAnsi="Arial" w:cs="Arial"/>
          <w:color w:val="231F20"/>
          <w:spacing w:val="-5"/>
          <w:sz w:val="20"/>
          <w:szCs w:val="20"/>
        </w:rPr>
        <w:t xml:space="preserve"> </w:t>
      </w:r>
      <w:r w:rsidRPr="003C616C">
        <w:rPr>
          <w:rFonts w:ascii="Arial" w:hAnsi="Arial" w:cs="Arial"/>
          <w:color w:val="231F20"/>
          <w:sz w:val="20"/>
          <w:szCs w:val="20"/>
        </w:rPr>
        <w:t>and</w:t>
      </w:r>
      <w:r w:rsidRPr="003C616C">
        <w:rPr>
          <w:rFonts w:ascii="Arial" w:hAnsi="Arial" w:cs="Arial"/>
          <w:color w:val="231F20"/>
          <w:spacing w:val="-5"/>
          <w:sz w:val="20"/>
          <w:szCs w:val="20"/>
        </w:rPr>
        <w:t xml:space="preserve"> </w:t>
      </w:r>
      <w:r w:rsidRPr="003C616C">
        <w:rPr>
          <w:rFonts w:ascii="Arial" w:hAnsi="Arial" w:cs="Arial"/>
          <w:color w:val="231F20"/>
          <w:sz w:val="20"/>
          <w:szCs w:val="20"/>
        </w:rPr>
        <w:t>indirect</w:t>
      </w:r>
      <w:r w:rsidRPr="003C616C">
        <w:rPr>
          <w:rFonts w:ascii="Arial" w:hAnsi="Arial" w:cs="Arial"/>
          <w:color w:val="231F20"/>
          <w:spacing w:val="-4"/>
          <w:sz w:val="20"/>
          <w:szCs w:val="20"/>
        </w:rPr>
        <w:t xml:space="preserve"> </w:t>
      </w:r>
      <w:r w:rsidRPr="003C616C">
        <w:rPr>
          <w:rFonts w:ascii="Arial" w:hAnsi="Arial" w:cs="Arial"/>
          <w:color w:val="231F20"/>
          <w:sz w:val="20"/>
          <w:szCs w:val="20"/>
        </w:rPr>
        <w:t>administrative</w:t>
      </w:r>
      <w:r w:rsidRPr="003C616C">
        <w:rPr>
          <w:rFonts w:ascii="Arial" w:hAnsi="Arial" w:cs="Arial"/>
          <w:color w:val="231F20"/>
          <w:spacing w:val="-5"/>
          <w:sz w:val="20"/>
          <w:szCs w:val="20"/>
        </w:rPr>
        <w:t xml:space="preserve"> </w:t>
      </w:r>
      <w:r w:rsidRPr="003C616C">
        <w:rPr>
          <w:rFonts w:ascii="Arial" w:hAnsi="Arial" w:cs="Arial"/>
          <w:color w:val="231F20"/>
          <w:sz w:val="20"/>
          <w:szCs w:val="20"/>
        </w:rPr>
        <w:t>costs. Under ERA 2, a grantee may use up to 15 percent of the total award amount for direct and indirect administrative costs (see FAQ</w:t>
      </w:r>
      <w:r w:rsidRPr="003C616C">
        <w:rPr>
          <w:rFonts w:ascii="Arial" w:hAnsi="Arial" w:cs="Arial"/>
          <w:color w:val="231F20"/>
          <w:spacing w:val="-5"/>
          <w:sz w:val="20"/>
          <w:szCs w:val="20"/>
        </w:rPr>
        <w:t xml:space="preserve"> </w:t>
      </w:r>
      <w:r w:rsidRPr="003C616C">
        <w:rPr>
          <w:rFonts w:ascii="Arial" w:hAnsi="Arial" w:cs="Arial"/>
          <w:color w:val="231F20"/>
          <w:sz w:val="20"/>
          <w:szCs w:val="20"/>
        </w:rPr>
        <w:t>29).</w:t>
      </w:r>
    </w:p>
    <w:p w14:paraId="5D953811" w14:textId="42F25281" w:rsidR="003C616C" w:rsidRPr="003C616C" w:rsidRDefault="003C616C" w:rsidP="00950585">
      <w:pPr>
        <w:spacing w:after="240"/>
        <w:jc w:val="both"/>
        <w:rPr>
          <w:rFonts w:ascii="Arial" w:hAnsi="Arial" w:cs="Arial"/>
          <w:bCs/>
          <w:sz w:val="20"/>
        </w:rPr>
      </w:pPr>
      <w:r w:rsidRPr="00BC7F42">
        <w:rPr>
          <w:rFonts w:ascii="Arial" w:hAnsi="Arial" w:cs="Arial"/>
          <w:bCs/>
          <w:i/>
          <w:sz w:val="20"/>
        </w:rPr>
        <w:t xml:space="preserve">(Source: </w:t>
      </w:r>
      <w:r>
        <w:rPr>
          <w:rFonts w:ascii="Arial" w:hAnsi="Arial" w:cs="Arial"/>
          <w:bCs/>
          <w:i/>
          <w:sz w:val="20"/>
        </w:rPr>
        <w:t>2022 OMB Compliance Supplement, Part 4, Treasury, Emergency Rental Assistance Program)</w:t>
      </w:r>
    </w:p>
    <w:p w14:paraId="03B8A06B" w14:textId="77777777" w:rsidR="00B328D1" w:rsidRPr="00F00D94" w:rsidRDefault="00B328D1" w:rsidP="00950585">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33" w:name="_Toc116458422"/>
      <w:r w:rsidRPr="00F00D94">
        <w:rPr>
          <w:rFonts w:cs="Arial"/>
        </w:rPr>
        <w:t>Additional Program Specific Information</w:t>
      </w:r>
      <w:bookmarkEnd w:id="33"/>
    </w:p>
    <w:p w14:paraId="153621CB" w14:textId="25BE1F36" w:rsidR="007F204B" w:rsidRDefault="007F204B" w:rsidP="001F0603">
      <w:pP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Allowed Costs/Cost Principles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w:t>
      </w:r>
      <w:r w:rsidRPr="00F00D94">
        <w:rPr>
          <w:rFonts w:ascii="Arial" w:hAnsi="Arial" w:cs="Arial"/>
          <w:b/>
          <w:sz w:val="20"/>
          <w:highlight w:val="yellow"/>
        </w:rPr>
        <w:lastRenderedPageBreak/>
        <w:t xml:space="preserve">application, agreement, and policies.  Include any additional requirements and place that information with the related suggested audit </w:t>
      </w:r>
      <w:r w:rsidR="001878FB" w:rsidRPr="00F00D94">
        <w:rPr>
          <w:rFonts w:ascii="Arial" w:hAnsi="Arial" w:cs="Arial"/>
          <w:b/>
          <w:sz w:val="20"/>
          <w:highlight w:val="yellow"/>
        </w:rPr>
        <w:t>procedures and</w:t>
      </w:r>
      <w:r w:rsidRPr="00F00D94">
        <w:rPr>
          <w:rFonts w:ascii="Arial" w:hAnsi="Arial" w:cs="Arial"/>
          <w:b/>
          <w:sz w:val="20"/>
          <w:highlight w:val="yellow"/>
        </w:rPr>
        <w:t xml:space="preserve"> delete the yellow highlighted text. </w:t>
      </w:r>
      <w:r w:rsidR="00F105A5" w:rsidRPr="00F00D94">
        <w:rPr>
          <w:rFonts w:ascii="Arial" w:hAnsi="Arial" w:cs="Arial"/>
          <w:b/>
          <w:sz w:val="20"/>
          <w:highlight w:val="yellow"/>
        </w:rPr>
        <w:t xml:space="preserve"> </w:t>
      </w:r>
      <w:r w:rsidRPr="00F00D94">
        <w:rPr>
          <w:rFonts w:ascii="Arial" w:hAnsi="Arial" w:cs="Arial"/>
          <w:b/>
          <w:sz w:val="20"/>
          <w:highlight w:val="yellow"/>
        </w:rPr>
        <w:t xml:space="preserve">Be sure to indicate the source of your information. </w:t>
      </w:r>
      <w:r w:rsidR="00F105A5" w:rsidRPr="00F00D94">
        <w:rPr>
          <w:rFonts w:ascii="Arial" w:hAnsi="Arial" w:cs="Arial"/>
          <w:b/>
          <w:sz w:val="20"/>
          <w:highlight w:val="yellow"/>
        </w:rPr>
        <w:t xml:space="preserve"> </w:t>
      </w:r>
      <w:r w:rsidRPr="00F00D94">
        <w:rPr>
          <w:rFonts w:ascii="Arial" w:hAnsi="Arial" w:cs="Arial"/>
          <w:b/>
          <w:sz w:val="20"/>
          <w:highlight w:val="yellow"/>
        </w:rPr>
        <w:t>If no additional requirements are noted, indicate as such.</w:t>
      </w:r>
    </w:p>
    <w:p w14:paraId="56C25560" w14:textId="77777777" w:rsidR="00950585" w:rsidRDefault="00950585" w:rsidP="00950585">
      <w:pPr>
        <w:spacing w:after="240"/>
        <w:jc w:val="both"/>
        <w:rPr>
          <w:rFonts w:ascii="Arial" w:hAnsi="Arial" w:cs="Arial"/>
          <w:b/>
          <w:sz w:val="20"/>
        </w:rPr>
      </w:pPr>
      <w:r w:rsidRPr="00D953AE">
        <w:rPr>
          <w:rFonts w:ascii="Arial" w:hAnsi="Arial" w:cs="Arial"/>
          <w:b/>
          <w:sz w:val="20"/>
        </w:rPr>
        <w:t>ERA 1, Terms</w:t>
      </w:r>
    </w:p>
    <w:p w14:paraId="785218FE" w14:textId="77777777" w:rsidR="00950585" w:rsidRPr="00D953AE" w:rsidRDefault="00950585" w:rsidP="00950585">
      <w:pPr>
        <w:tabs>
          <w:tab w:val="left" w:pos="360"/>
        </w:tabs>
        <w:spacing w:after="240"/>
        <w:jc w:val="both"/>
        <w:rPr>
          <w:rFonts w:ascii="Arial" w:hAnsi="Arial" w:cs="Arial"/>
          <w:sz w:val="20"/>
        </w:rPr>
      </w:pPr>
      <w:r>
        <w:rPr>
          <w:rFonts w:ascii="Arial" w:hAnsi="Arial" w:cs="Arial"/>
          <w:sz w:val="20"/>
        </w:rPr>
        <w:t xml:space="preserve">4. </w:t>
      </w:r>
      <w:r>
        <w:rPr>
          <w:rFonts w:ascii="Arial" w:hAnsi="Arial" w:cs="Arial"/>
          <w:sz w:val="20"/>
        </w:rPr>
        <w:tab/>
      </w:r>
      <w:r w:rsidRPr="00D953AE">
        <w:rPr>
          <w:rFonts w:ascii="Arial" w:hAnsi="Arial" w:cs="Arial"/>
          <w:sz w:val="20"/>
        </w:rPr>
        <w:t>Administrative costs.</w:t>
      </w:r>
    </w:p>
    <w:p w14:paraId="0095AF4E" w14:textId="77777777" w:rsidR="00950585" w:rsidRPr="00D953AE" w:rsidRDefault="00950585" w:rsidP="00950585">
      <w:pPr>
        <w:tabs>
          <w:tab w:val="left" w:pos="720"/>
        </w:tabs>
        <w:spacing w:after="240"/>
        <w:ind w:left="720" w:hanging="360"/>
        <w:jc w:val="both"/>
        <w:rPr>
          <w:rFonts w:ascii="Arial" w:hAnsi="Arial" w:cs="Arial"/>
          <w:sz w:val="20"/>
        </w:rPr>
      </w:pPr>
      <w:r w:rsidRPr="00D953AE">
        <w:rPr>
          <w:rFonts w:ascii="Arial" w:hAnsi="Arial" w:cs="Arial"/>
          <w:sz w:val="20"/>
        </w:rPr>
        <w:t xml:space="preserve">a. </w:t>
      </w:r>
      <w:r>
        <w:rPr>
          <w:rFonts w:ascii="Arial" w:hAnsi="Arial" w:cs="Arial"/>
          <w:sz w:val="20"/>
        </w:rPr>
        <w:tab/>
      </w:r>
      <w:r w:rsidRPr="00D953AE">
        <w:rPr>
          <w:rFonts w:ascii="Arial" w:hAnsi="Arial" w:cs="Arial"/>
          <w:sz w:val="20"/>
        </w:rPr>
        <w:t>Recipient may use funds provided to the Recipient to cover both direct and indirect costs.</w:t>
      </w:r>
    </w:p>
    <w:p w14:paraId="0972ED86" w14:textId="77777777" w:rsidR="00950585" w:rsidRDefault="00950585" w:rsidP="00950585">
      <w:pPr>
        <w:tabs>
          <w:tab w:val="left" w:pos="720"/>
        </w:tabs>
        <w:spacing w:after="240"/>
        <w:ind w:left="720" w:hanging="360"/>
        <w:jc w:val="both"/>
        <w:rPr>
          <w:rFonts w:ascii="Arial" w:hAnsi="Arial" w:cs="Arial"/>
          <w:sz w:val="20"/>
        </w:rPr>
      </w:pPr>
      <w:r w:rsidRPr="00D953AE">
        <w:rPr>
          <w:rFonts w:ascii="Arial" w:hAnsi="Arial" w:cs="Arial"/>
          <w:sz w:val="20"/>
        </w:rPr>
        <w:t xml:space="preserve">b. </w:t>
      </w:r>
      <w:r>
        <w:rPr>
          <w:rFonts w:ascii="Arial" w:hAnsi="Arial" w:cs="Arial"/>
          <w:sz w:val="20"/>
        </w:rPr>
        <w:tab/>
      </w:r>
      <w:r w:rsidRPr="00D953AE">
        <w:rPr>
          <w:rFonts w:ascii="Arial" w:hAnsi="Arial" w:cs="Arial"/>
          <w:sz w:val="20"/>
        </w:rPr>
        <w:t>The total of all administrative costs, whether direct or indirect costs, may not exceed 10 percent of the total amount of the total award.</w:t>
      </w:r>
    </w:p>
    <w:p w14:paraId="190EEB46" w14:textId="77777777" w:rsidR="00950585" w:rsidRPr="00D953AE" w:rsidRDefault="00950585" w:rsidP="00950585">
      <w:pPr>
        <w:tabs>
          <w:tab w:val="left" w:pos="720"/>
        </w:tabs>
        <w:spacing w:after="240"/>
        <w:jc w:val="both"/>
        <w:rPr>
          <w:rFonts w:ascii="Arial" w:hAnsi="Arial" w:cs="Arial"/>
          <w:sz w:val="20"/>
        </w:rPr>
      </w:pPr>
      <w:r>
        <w:rPr>
          <w:rFonts w:ascii="Arial" w:hAnsi="Arial" w:cs="Arial"/>
          <w:sz w:val="20"/>
        </w:rPr>
        <w:t>(</w:t>
      </w:r>
      <w:r w:rsidRPr="00EB4FD9">
        <w:rPr>
          <w:rFonts w:ascii="Arial" w:hAnsi="Arial" w:cs="Arial"/>
          <w:sz w:val="20"/>
          <w:highlight w:val="green"/>
        </w:rPr>
        <w:t>CFAE Note</w:t>
      </w:r>
      <w:r>
        <w:rPr>
          <w:rFonts w:ascii="Arial" w:hAnsi="Arial" w:cs="Arial"/>
          <w:sz w:val="20"/>
        </w:rPr>
        <w:t>: The original terms indicated that recipients were not able to cover indirect costs; however, the terms were subsequently updated)</w:t>
      </w:r>
    </w:p>
    <w:p w14:paraId="6C64A73E" w14:textId="289E983F" w:rsidR="00950585" w:rsidRDefault="00950585" w:rsidP="00950585">
      <w:pPr>
        <w:spacing w:after="240"/>
        <w:jc w:val="both"/>
        <w:rPr>
          <w:rFonts w:ascii="Arial" w:hAnsi="Arial" w:cs="Arial"/>
          <w:i/>
          <w:sz w:val="20"/>
        </w:rPr>
      </w:pPr>
      <w:r w:rsidRPr="00D953AE">
        <w:rPr>
          <w:rFonts w:ascii="Arial" w:hAnsi="Arial" w:cs="Arial"/>
          <w:i/>
          <w:sz w:val="20"/>
        </w:rPr>
        <w:t xml:space="preserve">(Source: US Department of the Treasury, Emergency Rental Assistance, </w:t>
      </w:r>
      <w:hyperlink r:id="rId57" w:history="1">
        <w:r w:rsidRPr="008604E3">
          <w:rPr>
            <w:rStyle w:val="Hyperlink"/>
            <w:rFonts w:ascii="Arial" w:hAnsi="Arial" w:cs="Arial"/>
            <w:i/>
            <w:sz w:val="20"/>
          </w:rPr>
          <w:t>Awar</w:t>
        </w:r>
        <w:r w:rsidRPr="008604E3">
          <w:rPr>
            <w:rStyle w:val="Hyperlink"/>
            <w:rFonts w:ascii="Arial" w:hAnsi="Arial" w:cs="Arial"/>
            <w:i/>
            <w:sz w:val="20"/>
          </w:rPr>
          <w:t>d</w:t>
        </w:r>
        <w:r w:rsidRPr="008604E3">
          <w:rPr>
            <w:rStyle w:val="Hyperlink"/>
            <w:rFonts w:ascii="Arial" w:hAnsi="Arial" w:cs="Arial"/>
            <w:i/>
            <w:sz w:val="20"/>
          </w:rPr>
          <w:t xml:space="preserve"> Terms</w:t>
        </w:r>
      </w:hyperlink>
      <w:r w:rsidRPr="00D953AE">
        <w:rPr>
          <w:rFonts w:ascii="Arial" w:hAnsi="Arial" w:cs="Arial"/>
          <w:i/>
          <w:sz w:val="20"/>
        </w:rPr>
        <w:t>, March 26, 2021</w:t>
      </w:r>
      <w:r>
        <w:rPr>
          <w:rFonts w:ascii="Arial" w:hAnsi="Arial" w:cs="Arial"/>
          <w:i/>
          <w:sz w:val="20"/>
        </w:rPr>
        <w:t xml:space="preserve"> Page 2</w:t>
      </w:r>
      <w:r w:rsidRPr="00D953AE">
        <w:rPr>
          <w:rFonts w:ascii="Arial" w:hAnsi="Arial" w:cs="Arial"/>
          <w:i/>
          <w:sz w:val="20"/>
        </w:rPr>
        <w:t>)</w:t>
      </w:r>
    </w:p>
    <w:p w14:paraId="6C70F0AA" w14:textId="77777777" w:rsidR="00950585" w:rsidRDefault="00950585" w:rsidP="00950585">
      <w:pPr>
        <w:spacing w:after="240"/>
        <w:jc w:val="both"/>
        <w:rPr>
          <w:rFonts w:ascii="Arial" w:hAnsi="Arial" w:cs="Arial"/>
          <w:b/>
          <w:sz w:val="20"/>
        </w:rPr>
      </w:pPr>
      <w:r w:rsidRPr="00D953AE">
        <w:rPr>
          <w:rFonts w:ascii="Arial" w:hAnsi="Arial" w:cs="Arial"/>
          <w:b/>
          <w:sz w:val="20"/>
        </w:rPr>
        <w:t xml:space="preserve">ERA </w:t>
      </w:r>
      <w:r>
        <w:rPr>
          <w:rFonts w:ascii="Arial" w:hAnsi="Arial" w:cs="Arial"/>
          <w:b/>
          <w:sz w:val="20"/>
        </w:rPr>
        <w:t>2</w:t>
      </w:r>
      <w:r w:rsidRPr="00D953AE">
        <w:rPr>
          <w:rFonts w:ascii="Arial" w:hAnsi="Arial" w:cs="Arial"/>
          <w:b/>
          <w:sz w:val="20"/>
        </w:rPr>
        <w:t>, Terms</w:t>
      </w:r>
    </w:p>
    <w:p w14:paraId="43CDAB02" w14:textId="77777777" w:rsidR="00950585" w:rsidRPr="00EB4FD9" w:rsidRDefault="00950585" w:rsidP="00950585">
      <w:pPr>
        <w:tabs>
          <w:tab w:val="left" w:pos="360"/>
        </w:tabs>
        <w:spacing w:after="240"/>
        <w:ind w:left="360" w:hanging="360"/>
        <w:rPr>
          <w:rFonts w:ascii="Arial" w:hAnsi="Arial" w:cs="Arial"/>
          <w:sz w:val="20"/>
        </w:rPr>
      </w:pPr>
      <w:r>
        <w:rPr>
          <w:rFonts w:ascii="Arial" w:hAnsi="Arial" w:cs="Arial"/>
          <w:sz w:val="20"/>
        </w:rPr>
        <w:t xml:space="preserve">5. </w:t>
      </w:r>
      <w:r>
        <w:rPr>
          <w:rFonts w:ascii="Arial" w:hAnsi="Arial" w:cs="Arial"/>
          <w:sz w:val="20"/>
        </w:rPr>
        <w:tab/>
      </w:r>
      <w:r w:rsidRPr="00EB4FD9">
        <w:rPr>
          <w:rFonts w:ascii="Arial" w:hAnsi="Arial" w:cs="Arial"/>
          <w:sz w:val="20"/>
        </w:rPr>
        <w:t>Administrative costs.</w:t>
      </w:r>
    </w:p>
    <w:p w14:paraId="4426524E" w14:textId="77777777" w:rsidR="00950585" w:rsidRDefault="00950585" w:rsidP="00950585">
      <w:pPr>
        <w:pStyle w:val="ListParagraph"/>
        <w:numPr>
          <w:ilvl w:val="0"/>
          <w:numId w:val="51"/>
        </w:numPr>
        <w:spacing w:after="240"/>
        <w:rPr>
          <w:rFonts w:ascii="Arial" w:hAnsi="Arial" w:cs="Arial"/>
        </w:rPr>
      </w:pPr>
      <w:r w:rsidRPr="00EB4FD9">
        <w:rPr>
          <w:rFonts w:ascii="Arial" w:hAnsi="Arial" w:cs="Arial"/>
        </w:rPr>
        <w:t>Recipient may use funds provided to the Recipient to cover both direct and indirect costs.</w:t>
      </w:r>
    </w:p>
    <w:p w14:paraId="0D30475E" w14:textId="77777777" w:rsidR="00950585" w:rsidRPr="00EB4FD9" w:rsidRDefault="00950585" w:rsidP="00950585">
      <w:pPr>
        <w:pStyle w:val="ListParagraph"/>
        <w:numPr>
          <w:ilvl w:val="0"/>
          <w:numId w:val="51"/>
        </w:numPr>
        <w:spacing w:after="240"/>
        <w:rPr>
          <w:rFonts w:ascii="Arial" w:hAnsi="Arial" w:cs="Arial"/>
        </w:rPr>
      </w:pPr>
      <w:r w:rsidRPr="00EB4FD9">
        <w:rPr>
          <w:rFonts w:ascii="Arial" w:hAnsi="Arial" w:cs="Arial"/>
        </w:rPr>
        <w:t>The total of all administrative costs, whether direct or indirect costs, may not exceed 15 percent of the total amount of the total award.</w:t>
      </w:r>
    </w:p>
    <w:p w14:paraId="1A13AB38" w14:textId="1F7FFED8" w:rsidR="00950585" w:rsidRPr="00950585" w:rsidRDefault="00950585" w:rsidP="00950585">
      <w:pPr>
        <w:spacing w:after="240"/>
      </w:pPr>
      <w:r w:rsidRPr="00D953AE">
        <w:rPr>
          <w:rFonts w:ascii="Arial" w:hAnsi="Arial" w:cs="Arial"/>
          <w:i/>
          <w:sz w:val="20"/>
        </w:rPr>
        <w:t xml:space="preserve">(Source: US Department of the Treasury, Emergency Rental Assistance, </w:t>
      </w:r>
      <w:hyperlink r:id="rId58" w:history="1">
        <w:r w:rsidRPr="008604E3">
          <w:rPr>
            <w:rStyle w:val="Hyperlink"/>
            <w:rFonts w:ascii="Arial" w:hAnsi="Arial" w:cs="Arial"/>
            <w:i/>
            <w:sz w:val="20"/>
          </w:rPr>
          <w:t>Award Terms</w:t>
        </w:r>
      </w:hyperlink>
      <w:r>
        <w:rPr>
          <w:rFonts w:ascii="Arial" w:hAnsi="Arial" w:cs="Arial"/>
          <w:i/>
          <w:sz w:val="20"/>
        </w:rPr>
        <w:t>, Page 1</w:t>
      </w:r>
      <w:r w:rsidRPr="00D953AE">
        <w:rPr>
          <w:rFonts w:ascii="Arial" w:hAnsi="Arial" w:cs="Arial"/>
          <w:i/>
          <w:sz w:val="20"/>
        </w:rPr>
        <w:t>)</w:t>
      </w:r>
    </w:p>
    <w:p w14:paraId="1F3BF11A" w14:textId="77777777" w:rsidR="00CE7224" w:rsidRPr="00F00D94" w:rsidRDefault="00CE7224" w:rsidP="006672EA">
      <w:pPr>
        <w:pStyle w:val="Heading3"/>
        <w:jc w:val="both"/>
        <w:rPr>
          <w:rFonts w:cs="Arial"/>
          <w:b w:val="0"/>
        </w:rPr>
      </w:pPr>
      <w:bookmarkStart w:id="34" w:name="_Toc116458423"/>
      <w:r w:rsidRPr="00F00D94">
        <w:rPr>
          <w:rFonts w:cs="Arial"/>
        </w:rPr>
        <w:t>Indirect Cost Rate</w:t>
      </w:r>
      <w:bookmarkEnd w:id="34"/>
    </w:p>
    <w:p w14:paraId="599D3EF2" w14:textId="1633A7B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 xml:space="preserve">Audit Objectives (Deminimis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55ACC211" w:rsidR="00B85001" w:rsidRPr="00F00D94" w:rsidRDefault="00B013E4" w:rsidP="00437268">
      <w:pPr>
        <w:pStyle w:val="BodyText"/>
        <w:widowControl w:val="0"/>
        <w:numPr>
          <w:ilvl w:val="0"/>
          <w:numId w:val="36"/>
        </w:numPr>
        <w:autoSpaceDE w:val="0"/>
        <w:autoSpaceDN w:val="0"/>
        <w:spacing w:after="0"/>
        <w:jc w:val="both"/>
        <w:rPr>
          <w:rFonts w:ascii="Arial" w:hAnsi="Arial" w:cs="Arial"/>
          <w:sz w:val="20"/>
          <w:szCs w:val="20"/>
        </w:rPr>
      </w:pPr>
      <w:hyperlink r:id="rId59"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5F9DE7CE" w:rsidR="00B85001" w:rsidRPr="00F00D94" w:rsidRDefault="00B013E4" w:rsidP="00437268">
      <w:pPr>
        <w:pStyle w:val="BodyText"/>
        <w:widowControl w:val="0"/>
        <w:numPr>
          <w:ilvl w:val="0"/>
          <w:numId w:val="36"/>
        </w:numPr>
        <w:autoSpaceDE w:val="0"/>
        <w:autoSpaceDN w:val="0"/>
        <w:spacing w:after="0"/>
        <w:jc w:val="both"/>
        <w:rPr>
          <w:rFonts w:ascii="Arial" w:hAnsi="Arial" w:cs="Arial"/>
          <w:sz w:val="20"/>
          <w:szCs w:val="20"/>
        </w:rPr>
      </w:pPr>
      <w:hyperlink r:id="rId60" w:history="1">
        <w:r w:rsidR="00B85001" w:rsidRPr="00F00D94">
          <w:rPr>
            <w:rStyle w:val="Hyperlink"/>
            <w:rFonts w:ascii="Arial" w:hAnsi="Arial" w:cs="Arial"/>
            <w:sz w:val="20"/>
            <w:szCs w:val="20"/>
          </w:rPr>
          <w:t>2013 COSO</w:t>
        </w:r>
      </w:hyperlink>
    </w:p>
    <w:p w14:paraId="3F1D20BF" w14:textId="47D2BDAD" w:rsidR="00B85001" w:rsidRPr="00F00D94" w:rsidRDefault="00B013E4" w:rsidP="00437268">
      <w:pPr>
        <w:pStyle w:val="BodyText"/>
        <w:widowControl w:val="0"/>
        <w:numPr>
          <w:ilvl w:val="0"/>
          <w:numId w:val="36"/>
        </w:numPr>
        <w:autoSpaceDE w:val="0"/>
        <w:autoSpaceDN w:val="0"/>
        <w:rPr>
          <w:rStyle w:val="Hyperlink"/>
          <w:rFonts w:ascii="Arial" w:hAnsi="Arial" w:cs="Arial"/>
          <w:color w:val="auto"/>
          <w:sz w:val="20"/>
          <w:szCs w:val="20"/>
          <w:u w:val="none"/>
        </w:rPr>
      </w:pPr>
      <w:hyperlink r:id="rId61"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lastRenderedPageBreak/>
        <w:t>Audit Objectives</w:t>
      </w:r>
    </w:p>
    <w:p w14:paraId="10A8CB97" w14:textId="77777777" w:rsidR="00B85001" w:rsidRPr="00F00D94" w:rsidRDefault="00B85001" w:rsidP="00437268">
      <w:pPr>
        <w:pStyle w:val="ListParagraph"/>
        <w:widowControl w:val="0"/>
        <w:numPr>
          <w:ilvl w:val="0"/>
          <w:numId w:val="37"/>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437268">
      <w:pPr>
        <w:pStyle w:val="ListParagraph"/>
        <w:widowControl w:val="0"/>
        <w:numPr>
          <w:ilvl w:val="0"/>
          <w:numId w:val="37"/>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437268">
      <w:pPr>
        <w:pStyle w:val="ListParagraph"/>
        <w:widowControl w:val="0"/>
        <w:numPr>
          <w:ilvl w:val="0"/>
          <w:numId w:val="37"/>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5" w:name="_Toc116458424"/>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Local Governments</w:t>
      </w:r>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5"/>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lastRenderedPageBreak/>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7AC368A4" w:rsidR="00B85001" w:rsidRPr="00F00D94" w:rsidRDefault="00B013E4" w:rsidP="00437268">
      <w:pPr>
        <w:pStyle w:val="BodyText"/>
        <w:widowControl w:val="0"/>
        <w:numPr>
          <w:ilvl w:val="0"/>
          <w:numId w:val="36"/>
        </w:numPr>
        <w:autoSpaceDE w:val="0"/>
        <w:autoSpaceDN w:val="0"/>
        <w:spacing w:after="0"/>
        <w:rPr>
          <w:rFonts w:ascii="Arial" w:hAnsi="Arial" w:cs="Arial"/>
          <w:sz w:val="20"/>
          <w:szCs w:val="20"/>
        </w:rPr>
      </w:pPr>
      <w:hyperlink r:id="rId62"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359250C4" w:rsidR="00B85001" w:rsidRPr="00F00D94" w:rsidRDefault="00B013E4" w:rsidP="00437268">
      <w:pPr>
        <w:pStyle w:val="BodyText"/>
        <w:widowControl w:val="0"/>
        <w:numPr>
          <w:ilvl w:val="0"/>
          <w:numId w:val="36"/>
        </w:numPr>
        <w:autoSpaceDE w:val="0"/>
        <w:autoSpaceDN w:val="0"/>
        <w:spacing w:after="0"/>
        <w:rPr>
          <w:rFonts w:ascii="Arial" w:hAnsi="Arial" w:cs="Arial"/>
          <w:sz w:val="20"/>
          <w:szCs w:val="20"/>
        </w:rPr>
      </w:pPr>
      <w:hyperlink r:id="rId63" w:history="1">
        <w:r w:rsidR="00B85001" w:rsidRPr="00F00D94">
          <w:rPr>
            <w:rStyle w:val="Hyperlink"/>
            <w:rFonts w:ascii="Arial" w:hAnsi="Arial" w:cs="Arial"/>
            <w:sz w:val="20"/>
            <w:szCs w:val="20"/>
          </w:rPr>
          <w:t>2013 COSO</w:t>
        </w:r>
      </w:hyperlink>
    </w:p>
    <w:p w14:paraId="18A610AF" w14:textId="49314C57" w:rsidR="00B85001" w:rsidRPr="00F00D94" w:rsidRDefault="00B013E4" w:rsidP="00437268">
      <w:pPr>
        <w:pStyle w:val="BodyText"/>
        <w:widowControl w:val="0"/>
        <w:numPr>
          <w:ilvl w:val="0"/>
          <w:numId w:val="36"/>
        </w:numPr>
        <w:autoSpaceDE w:val="0"/>
        <w:autoSpaceDN w:val="0"/>
        <w:rPr>
          <w:rStyle w:val="Hyperlink"/>
          <w:rFonts w:ascii="Arial" w:hAnsi="Arial" w:cs="Arial"/>
          <w:color w:val="auto"/>
          <w:sz w:val="20"/>
          <w:szCs w:val="20"/>
          <w:u w:val="none"/>
        </w:rPr>
      </w:pPr>
      <w:hyperlink r:id="rId64"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437268">
      <w:pPr>
        <w:pStyle w:val="ListParagraph"/>
        <w:widowControl w:val="0"/>
        <w:numPr>
          <w:ilvl w:val="0"/>
          <w:numId w:val="38"/>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437268">
      <w:pPr>
        <w:pStyle w:val="ListParagraph"/>
        <w:widowControl w:val="0"/>
        <w:numPr>
          <w:ilvl w:val="0"/>
          <w:numId w:val="38"/>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437268">
      <w:pPr>
        <w:pStyle w:val="ListParagraph"/>
        <w:widowControl w:val="0"/>
        <w:numPr>
          <w:ilvl w:val="0"/>
          <w:numId w:val="39"/>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437268">
      <w:pPr>
        <w:pStyle w:val="ListParagraph"/>
        <w:widowControl w:val="0"/>
        <w:numPr>
          <w:ilvl w:val="0"/>
          <w:numId w:val="39"/>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437268">
      <w:pPr>
        <w:pStyle w:val="ListParagraph"/>
        <w:widowControl w:val="0"/>
        <w:numPr>
          <w:ilvl w:val="0"/>
          <w:numId w:val="39"/>
        </w:numPr>
        <w:suppressAutoHyphens w:val="0"/>
        <w:adjustRightInd/>
        <w:spacing w:after="240"/>
        <w:ind w:left="360" w:right="58" w:hanging="360"/>
        <w:jc w:val="both"/>
        <w:rPr>
          <w:rFonts w:ascii="Arial" w:hAnsi="Arial" w:cs="Arial"/>
        </w:rPr>
      </w:pPr>
      <w:r w:rsidRPr="00F00D94">
        <w:rPr>
          <w:rFonts w:ascii="Arial" w:hAnsi="Arial" w:cs="Arial"/>
        </w:rPr>
        <w:lastRenderedPageBreak/>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437268">
      <w:pPr>
        <w:pStyle w:val="ListParagraph"/>
        <w:widowControl w:val="0"/>
        <w:numPr>
          <w:ilvl w:val="0"/>
          <w:numId w:val="39"/>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437268">
      <w:pPr>
        <w:pStyle w:val="ListParagraph"/>
        <w:numPr>
          <w:ilvl w:val="0"/>
          <w:numId w:val="31"/>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437268">
      <w:pPr>
        <w:pStyle w:val="AuditProcedureHeading"/>
        <w:numPr>
          <w:ilvl w:val="0"/>
          <w:numId w:val="31"/>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437268">
      <w:pPr>
        <w:pStyle w:val="AuditProcedureHeading"/>
        <w:numPr>
          <w:ilvl w:val="1"/>
          <w:numId w:val="31"/>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437268">
      <w:pPr>
        <w:pStyle w:val="AuditProcedureHeading"/>
        <w:numPr>
          <w:ilvl w:val="1"/>
          <w:numId w:val="31"/>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437268">
      <w:pPr>
        <w:pStyle w:val="AuditProcedureHeading"/>
        <w:numPr>
          <w:ilvl w:val="1"/>
          <w:numId w:val="31"/>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437268">
      <w:pPr>
        <w:pStyle w:val="AuditProcedureHeading"/>
        <w:numPr>
          <w:ilvl w:val="1"/>
          <w:numId w:val="31"/>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437268">
      <w:pPr>
        <w:pStyle w:val="AuditProcedureHeading"/>
        <w:numPr>
          <w:ilvl w:val="1"/>
          <w:numId w:val="31"/>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437268">
      <w:pPr>
        <w:pStyle w:val="AuditProcedureHeading"/>
        <w:numPr>
          <w:ilvl w:val="0"/>
          <w:numId w:val="31"/>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437268">
      <w:pPr>
        <w:pStyle w:val="AuditProcedureHeading"/>
        <w:numPr>
          <w:ilvl w:val="1"/>
          <w:numId w:val="31"/>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437268">
      <w:pPr>
        <w:pStyle w:val="AuditProcedureHeading"/>
        <w:numPr>
          <w:ilvl w:val="1"/>
          <w:numId w:val="31"/>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437268">
      <w:pPr>
        <w:pStyle w:val="ListParagraph"/>
        <w:numPr>
          <w:ilvl w:val="2"/>
          <w:numId w:val="31"/>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437268">
            <w:pPr>
              <w:pStyle w:val="ListParagraph"/>
              <w:numPr>
                <w:ilvl w:val="0"/>
                <w:numId w:val="18"/>
              </w:numPr>
              <w:suppressAutoHyphens w:val="0"/>
              <w:autoSpaceDE/>
              <w:autoSpaceDN/>
              <w:adjustRightInd/>
              <w:spacing w:after="240"/>
              <w:ind w:hanging="720"/>
              <w:contextualSpacing/>
              <w:jc w:val="both"/>
              <w:rPr>
                <w:rFonts w:ascii="Arial" w:hAnsi="Arial" w:cs="Arial"/>
              </w:rPr>
            </w:pPr>
            <w:r w:rsidRPr="00F00D94">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437268">
            <w:pPr>
              <w:numPr>
                <w:ilvl w:val="0"/>
                <w:numId w:val="18"/>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437268">
            <w:pPr>
              <w:keepNext/>
              <w:keepLines/>
              <w:numPr>
                <w:ilvl w:val="0"/>
                <w:numId w:val="18"/>
              </w:numPr>
              <w:spacing w:after="240"/>
              <w:ind w:hanging="720"/>
              <w:jc w:val="both"/>
              <w:rPr>
                <w:rFonts w:ascii="Arial" w:hAnsi="Arial" w:cs="Arial"/>
                <w:sz w:val="20"/>
              </w:rPr>
            </w:pPr>
            <w:r w:rsidRPr="00F00D94">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lastRenderedPageBreak/>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5AC338B3"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65"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w:t>
            </w:r>
            <w:r w:rsidRPr="00F00D94">
              <w:rPr>
                <w:rFonts w:ascii="Arial" w:hAnsi="Arial" w:cs="Arial"/>
                <w:sz w:val="20"/>
              </w:rPr>
              <w:lastRenderedPageBreak/>
              <w:t xml:space="preserve">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salaries and wages) to ascertain if the proposed allocation or rate bases are </w:t>
            </w:r>
            <w:r w:rsidRPr="00F00D94">
              <w:rPr>
                <w:rFonts w:ascii="Arial" w:hAnsi="Arial" w:cs="Arial"/>
                <w:sz w:val="20"/>
              </w:rPr>
              <w:lastRenderedPageBreak/>
              <w:t>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36" w:name="_Toc116458425"/>
      <w:r w:rsidRPr="00F00D94">
        <w:rPr>
          <w:rFonts w:cs="Arial"/>
        </w:rPr>
        <w:t>Allowable Costs – State/Local Government-wide Central Service Costs</w:t>
      </w:r>
      <w:bookmarkEnd w:id="36"/>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Billed central service costs (referred to as Section II costs) are billed to benefiting agencies and/or programs on an individual fee-for-service or similar basis.  The billed rates are usually based on the estimated costs </w:t>
      </w:r>
      <w:r w:rsidRPr="00F00D94">
        <w:rPr>
          <w:rFonts w:ascii="Arial" w:hAnsi="Arial" w:cs="Arial"/>
          <w:sz w:val="20"/>
        </w:rPr>
        <w:lastRenderedPageBreak/>
        <w:t>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0E6309BE" w:rsidR="00775380" w:rsidRPr="00F00D94" w:rsidRDefault="00B013E4" w:rsidP="00437268">
      <w:pPr>
        <w:pStyle w:val="ListParagraph"/>
        <w:numPr>
          <w:ilvl w:val="0"/>
          <w:numId w:val="40"/>
        </w:numPr>
        <w:jc w:val="both"/>
        <w:rPr>
          <w:rFonts w:ascii="Arial" w:hAnsi="Arial" w:cs="Arial"/>
          <w:i/>
        </w:rPr>
      </w:pPr>
      <w:hyperlink r:id="rId66"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087978EC" w:rsidR="00775380" w:rsidRPr="00F00D94" w:rsidRDefault="00B013E4" w:rsidP="00437268">
      <w:pPr>
        <w:pStyle w:val="ListParagraph"/>
        <w:numPr>
          <w:ilvl w:val="0"/>
          <w:numId w:val="40"/>
        </w:numPr>
        <w:jc w:val="both"/>
        <w:rPr>
          <w:rFonts w:ascii="Arial" w:hAnsi="Arial" w:cs="Arial"/>
          <w:i/>
        </w:rPr>
      </w:pPr>
      <w:hyperlink r:id="rId67" w:history="1">
        <w:r w:rsidR="00775380" w:rsidRPr="00F00D94">
          <w:rPr>
            <w:rStyle w:val="Hyperlink"/>
            <w:rFonts w:ascii="Arial" w:hAnsi="Arial" w:cs="Arial"/>
          </w:rPr>
          <w:t>2013 COSO</w:t>
        </w:r>
      </w:hyperlink>
    </w:p>
    <w:p w14:paraId="525F8542" w14:textId="3720A05F" w:rsidR="00775380" w:rsidRPr="00F00D94" w:rsidRDefault="00B013E4" w:rsidP="00437268">
      <w:pPr>
        <w:pStyle w:val="ListParagraph"/>
        <w:numPr>
          <w:ilvl w:val="0"/>
          <w:numId w:val="40"/>
        </w:numPr>
        <w:spacing w:after="240"/>
        <w:jc w:val="both"/>
        <w:rPr>
          <w:rFonts w:ascii="Arial" w:hAnsi="Arial" w:cs="Arial"/>
          <w:i/>
        </w:rPr>
      </w:pPr>
      <w:hyperlink r:id="rId68"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437268">
      <w:pPr>
        <w:pStyle w:val="ListParagraph"/>
        <w:numPr>
          <w:ilvl w:val="0"/>
          <w:numId w:val="41"/>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437268">
      <w:pPr>
        <w:pStyle w:val="ListParagraph"/>
        <w:numPr>
          <w:ilvl w:val="0"/>
          <w:numId w:val="41"/>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437268">
      <w:pPr>
        <w:pStyle w:val="ListParagraph"/>
        <w:numPr>
          <w:ilvl w:val="1"/>
          <w:numId w:val="41"/>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437268">
      <w:pPr>
        <w:pStyle w:val="ListParagraph"/>
        <w:numPr>
          <w:ilvl w:val="1"/>
          <w:numId w:val="41"/>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437268">
      <w:pPr>
        <w:pStyle w:val="ListParagraph"/>
        <w:numPr>
          <w:ilvl w:val="0"/>
          <w:numId w:val="41"/>
        </w:numPr>
        <w:spacing w:after="240"/>
        <w:jc w:val="both"/>
        <w:rPr>
          <w:rFonts w:ascii="Arial" w:hAnsi="Arial" w:cs="Arial"/>
        </w:rPr>
      </w:pPr>
      <w:r w:rsidRPr="00F00D94">
        <w:rPr>
          <w:rFonts w:ascii="Arial" w:hAnsi="Arial" w:cs="Arial"/>
        </w:rPr>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437268">
      <w:pPr>
        <w:pStyle w:val="ListParagraph"/>
        <w:numPr>
          <w:ilvl w:val="0"/>
          <w:numId w:val="42"/>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437268">
      <w:pPr>
        <w:pStyle w:val="ListParagraph"/>
        <w:numPr>
          <w:ilvl w:val="1"/>
          <w:numId w:val="42"/>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437268">
      <w:pPr>
        <w:pStyle w:val="ListParagraph"/>
        <w:numPr>
          <w:ilvl w:val="1"/>
          <w:numId w:val="42"/>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437268">
      <w:pPr>
        <w:pStyle w:val="ListParagraph"/>
        <w:numPr>
          <w:ilvl w:val="1"/>
          <w:numId w:val="42"/>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 xml:space="preserve">the requirements described in 2 CFR </w:t>
      </w:r>
      <w:r w:rsidRPr="00F00D94">
        <w:rPr>
          <w:rFonts w:ascii="Arial" w:hAnsi="Arial" w:cs="Arial"/>
        </w:rPr>
        <w:lastRenderedPageBreak/>
        <w:t>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437268">
      <w:pPr>
        <w:pStyle w:val="ListParagraph"/>
        <w:numPr>
          <w:ilvl w:val="1"/>
          <w:numId w:val="42"/>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437268">
      <w:pPr>
        <w:pStyle w:val="ListParagraph"/>
        <w:numPr>
          <w:ilvl w:val="0"/>
          <w:numId w:val="42"/>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437268">
      <w:pPr>
        <w:pStyle w:val="ListParagraph"/>
        <w:numPr>
          <w:ilvl w:val="1"/>
          <w:numId w:val="42"/>
        </w:numPr>
        <w:spacing w:after="240"/>
        <w:jc w:val="both"/>
        <w:rPr>
          <w:rFonts w:ascii="Arial" w:hAnsi="Arial" w:cs="Arial"/>
        </w:rPr>
      </w:pPr>
      <w:r w:rsidRPr="00F00D94">
        <w:rPr>
          <w:rFonts w:ascii="Arial" w:hAnsi="Arial" w:cs="Arial"/>
        </w:rPr>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437268">
      <w:pPr>
        <w:pStyle w:val="ListParagraph"/>
        <w:numPr>
          <w:ilvl w:val="1"/>
          <w:numId w:val="42"/>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437268">
      <w:pPr>
        <w:pStyle w:val="ListParagraph"/>
        <w:numPr>
          <w:ilvl w:val="0"/>
          <w:numId w:val="42"/>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437268">
      <w:pPr>
        <w:pStyle w:val="ListParagraph"/>
        <w:numPr>
          <w:ilvl w:val="0"/>
          <w:numId w:val="42"/>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437268">
      <w:pPr>
        <w:pStyle w:val="ListParagraph"/>
        <w:numPr>
          <w:ilvl w:val="0"/>
          <w:numId w:val="42"/>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437268">
      <w:pPr>
        <w:pStyle w:val="ListParagraph"/>
        <w:numPr>
          <w:ilvl w:val="1"/>
          <w:numId w:val="42"/>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437268">
      <w:pPr>
        <w:pStyle w:val="ListParagraph"/>
        <w:numPr>
          <w:ilvl w:val="1"/>
          <w:numId w:val="42"/>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437268">
      <w:pPr>
        <w:pStyle w:val="ListParagraph"/>
        <w:numPr>
          <w:ilvl w:val="1"/>
          <w:numId w:val="42"/>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A comparison of the revenue generated by each billed service (including total revenues whether or not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437268">
      <w:pPr>
        <w:pStyle w:val="ListParagraph"/>
        <w:numPr>
          <w:ilvl w:val="2"/>
          <w:numId w:val="42"/>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437268">
      <w:pPr>
        <w:pStyle w:val="ListParagraph"/>
        <w:numPr>
          <w:ilvl w:val="2"/>
          <w:numId w:val="42"/>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437268">
      <w:pPr>
        <w:pStyle w:val="ListParagraph"/>
        <w:numPr>
          <w:ilvl w:val="2"/>
          <w:numId w:val="42"/>
        </w:numPr>
        <w:spacing w:after="240"/>
        <w:jc w:val="both"/>
        <w:rPr>
          <w:rFonts w:ascii="Arial" w:hAnsi="Arial" w:cs="Arial"/>
        </w:rPr>
      </w:pPr>
      <w:r w:rsidRPr="00F00D94">
        <w:rPr>
          <w:rFonts w:ascii="Arial" w:hAnsi="Arial" w:cs="Arial"/>
        </w:rPr>
        <w:lastRenderedPageBreak/>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437268">
      <w:pPr>
        <w:pStyle w:val="ListParagraph"/>
        <w:numPr>
          <w:ilvl w:val="2"/>
          <w:numId w:val="42"/>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437268">
      <w:pPr>
        <w:pStyle w:val="ListParagraph"/>
        <w:numPr>
          <w:ilvl w:val="1"/>
          <w:numId w:val="42"/>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w:t>
            </w:r>
            <w:r w:rsidRPr="00F00D94">
              <w:rPr>
                <w:rFonts w:ascii="Arial" w:hAnsi="Arial" w:cs="Arial"/>
                <w:sz w:val="20"/>
              </w:rPr>
              <w:lastRenderedPageBreak/>
              <w:t>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lastRenderedPageBreak/>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37" w:name="_Toc116458426"/>
      <w:r w:rsidRPr="00F00D94">
        <w:rPr>
          <w:rFonts w:cs="Arial"/>
        </w:rPr>
        <w:t>Allowable Costs – State Public Assistance Agency Costs</w:t>
      </w:r>
      <w:bookmarkEnd w:id="37"/>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343B772D"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69"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lastRenderedPageBreak/>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6857C1CD" w:rsidR="007652BF" w:rsidRPr="00F00D94" w:rsidRDefault="00B013E4" w:rsidP="00437268">
      <w:pPr>
        <w:pStyle w:val="ListParagraph"/>
        <w:numPr>
          <w:ilvl w:val="0"/>
          <w:numId w:val="40"/>
        </w:numPr>
        <w:jc w:val="both"/>
        <w:rPr>
          <w:rFonts w:ascii="Arial" w:hAnsi="Arial" w:cs="Arial"/>
          <w:i/>
        </w:rPr>
      </w:pPr>
      <w:hyperlink r:id="rId70"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09B2C81E" w:rsidR="007652BF" w:rsidRPr="00F00D94" w:rsidRDefault="00B013E4" w:rsidP="00437268">
      <w:pPr>
        <w:pStyle w:val="ListParagraph"/>
        <w:numPr>
          <w:ilvl w:val="0"/>
          <w:numId w:val="40"/>
        </w:numPr>
        <w:jc w:val="both"/>
        <w:rPr>
          <w:rFonts w:ascii="Arial" w:hAnsi="Arial" w:cs="Arial"/>
          <w:i/>
        </w:rPr>
      </w:pPr>
      <w:hyperlink r:id="rId71" w:history="1">
        <w:r w:rsidR="007652BF" w:rsidRPr="00F00D94">
          <w:rPr>
            <w:rStyle w:val="Hyperlink"/>
            <w:rFonts w:ascii="Arial" w:hAnsi="Arial" w:cs="Arial"/>
          </w:rPr>
          <w:t>2013 COSO</w:t>
        </w:r>
      </w:hyperlink>
    </w:p>
    <w:p w14:paraId="06FC9858" w14:textId="2AB3D6EE" w:rsidR="007652BF" w:rsidRPr="00F00D94" w:rsidRDefault="00B013E4" w:rsidP="00437268">
      <w:pPr>
        <w:pStyle w:val="ListParagraph"/>
        <w:numPr>
          <w:ilvl w:val="0"/>
          <w:numId w:val="40"/>
        </w:numPr>
        <w:spacing w:after="240"/>
        <w:jc w:val="both"/>
        <w:rPr>
          <w:rFonts w:ascii="Arial" w:hAnsi="Arial" w:cs="Arial"/>
          <w:i/>
        </w:rPr>
      </w:pPr>
      <w:hyperlink r:id="rId72"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437268">
      <w:pPr>
        <w:pStyle w:val="ListParagraph"/>
        <w:numPr>
          <w:ilvl w:val="0"/>
          <w:numId w:val="43"/>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437268">
      <w:pPr>
        <w:pStyle w:val="ListParagraph"/>
        <w:numPr>
          <w:ilvl w:val="0"/>
          <w:numId w:val="43"/>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437268">
      <w:pPr>
        <w:pStyle w:val="ListParagraph"/>
        <w:numPr>
          <w:ilvl w:val="1"/>
          <w:numId w:val="43"/>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437268">
      <w:pPr>
        <w:pStyle w:val="ListParagraph"/>
        <w:numPr>
          <w:ilvl w:val="1"/>
          <w:numId w:val="43"/>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437268">
      <w:pPr>
        <w:pStyle w:val="ListParagraph"/>
        <w:numPr>
          <w:ilvl w:val="1"/>
          <w:numId w:val="43"/>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437268">
      <w:pPr>
        <w:pStyle w:val="ListParagraph"/>
        <w:numPr>
          <w:ilvl w:val="1"/>
          <w:numId w:val="43"/>
        </w:numPr>
        <w:spacing w:after="240"/>
        <w:jc w:val="both"/>
        <w:rPr>
          <w:rFonts w:ascii="Arial" w:hAnsi="Arial" w:cs="Arial"/>
        </w:rPr>
      </w:pPr>
      <w:r w:rsidRPr="00F00D94">
        <w:rPr>
          <w:rFonts w:ascii="Arial" w:hAnsi="Arial" w:cs="Arial"/>
        </w:rPr>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437268">
      <w:pPr>
        <w:pStyle w:val="ListParagraph"/>
        <w:numPr>
          <w:ilvl w:val="1"/>
          <w:numId w:val="43"/>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437268">
      <w:pPr>
        <w:pStyle w:val="ListParagraph"/>
        <w:numPr>
          <w:ilvl w:val="0"/>
          <w:numId w:val="44"/>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437268">
      <w:pPr>
        <w:pStyle w:val="ListParagraph"/>
        <w:numPr>
          <w:ilvl w:val="1"/>
          <w:numId w:val="44"/>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437268">
      <w:pPr>
        <w:pStyle w:val="ListParagraph"/>
        <w:numPr>
          <w:ilvl w:val="1"/>
          <w:numId w:val="44"/>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437268">
      <w:pPr>
        <w:pStyle w:val="ListParagraph"/>
        <w:numPr>
          <w:ilvl w:val="1"/>
          <w:numId w:val="44"/>
        </w:numPr>
        <w:spacing w:after="240"/>
        <w:jc w:val="both"/>
        <w:rPr>
          <w:rFonts w:ascii="Arial" w:hAnsi="Arial" w:cs="Arial"/>
        </w:rPr>
      </w:pPr>
      <w:r w:rsidRPr="00F00D94">
        <w:rPr>
          <w:rFonts w:ascii="Arial" w:hAnsi="Arial" w:cs="Arial"/>
        </w:rPr>
        <w:lastRenderedPageBreak/>
        <w:t>The CAP for public assistance programs is amended so as to affect the allocation of costs.</w:t>
      </w:r>
    </w:p>
    <w:p w14:paraId="67288408" w14:textId="2FB1818F" w:rsidR="007652BF" w:rsidRPr="00F00D94" w:rsidRDefault="007652BF" w:rsidP="00437268">
      <w:pPr>
        <w:pStyle w:val="ListParagraph"/>
        <w:numPr>
          <w:ilvl w:val="1"/>
          <w:numId w:val="44"/>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437268">
      <w:pPr>
        <w:pStyle w:val="ListParagraph"/>
        <w:numPr>
          <w:ilvl w:val="0"/>
          <w:numId w:val="44"/>
        </w:numPr>
        <w:spacing w:after="240"/>
        <w:jc w:val="both"/>
        <w:rPr>
          <w:rFonts w:ascii="Arial" w:hAnsi="Arial" w:cs="Arial"/>
        </w:rPr>
      </w:pPr>
      <w:r w:rsidRPr="00F00D94">
        <w:rPr>
          <w:rFonts w:ascii="Arial" w:hAnsi="Arial" w:cs="Arial"/>
          <w:i/>
        </w:rPr>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437268">
      <w:pPr>
        <w:pStyle w:val="ListParagraph"/>
        <w:numPr>
          <w:ilvl w:val="0"/>
          <w:numId w:val="44"/>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223CDB48"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73"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13B51627"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74"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w:t>
            </w:r>
            <w:r w:rsidRPr="00F00D94">
              <w:rPr>
                <w:rFonts w:ascii="Arial" w:hAnsi="Arial" w:cs="Arial"/>
                <w:sz w:val="20"/>
              </w:rPr>
              <w:lastRenderedPageBreak/>
              <w:t>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38" w:name="_Toc116458427"/>
      <w:r w:rsidRPr="00F00D94">
        <w:rPr>
          <w:rFonts w:cs="Arial"/>
        </w:rPr>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38"/>
    </w:p>
    <w:p w14:paraId="2E863FC5" w14:textId="251F841A"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75"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saved within your working papers and the cross referenced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39" w:name="_Toc116458428"/>
      <w:r w:rsidRPr="00F00D94">
        <w:rPr>
          <w:rFonts w:cs="Arial"/>
        </w:rPr>
        <w:t>Audit Implications Summary</w:t>
      </w:r>
      <w:bookmarkEnd w:id="39"/>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437268">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437268">
            <w:pPr>
              <w:widowControl w:val="0"/>
              <w:numPr>
                <w:ilvl w:val="0"/>
                <w:numId w:val="23"/>
              </w:numPr>
              <w:spacing w:after="240"/>
              <w:jc w:val="both"/>
              <w:rPr>
                <w:rFonts w:ascii="Arial" w:eastAsiaTheme="minorHAnsi" w:hAnsi="Arial" w:cs="Arial"/>
                <w:b/>
                <w:sz w:val="20"/>
              </w:rPr>
            </w:pPr>
            <w:r w:rsidRPr="00F00D94">
              <w:rPr>
                <w:rFonts w:ascii="Arial" w:hAnsi="Arial" w:cs="Arial"/>
                <w:b/>
                <w:sz w:val="20"/>
              </w:rPr>
              <w:lastRenderedPageBreak/>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437268">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437268">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437268">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76"/>
          <w:pgSz w:w="12240" w:h="15840" w:code="1"/>
          <w:pgMar w:top="1440" w:right="1440" w:bottom="1440" w:left="1440" w:header="720" w:footer="720" w:gutter="0"/>
          <w:cols w:space="720"/>
          <w:noEndnote/>
        </w:sectPr>
      </w:pPr>
    </w:p>
    <w:p w14:paraId="474FDBAB" w14:textId="77777777" w:rsidR="007E5B12" w:rsidRPr="00F00D94" w:rsidRDefault="007E5B12" w:rsidP="006672EA">
      <w:pPr>
        <w:pStyle w:val="Heading2"/>
        <w:jc w:val="both"/>
        <w:rPr>
          <w:rFonts w:cs="Arial"/>
        </w:rPr>
      </w:pPr>
      <w:bookmarkStart w:id="40" w:name="B__LIST_OF_SELECTED_ITEMS"/>
      <w:bookmarkStart w:id="41" w:name="C___CASH_MANAGEMENT"/>
      <w:bookmarkStart w:id="42" w:name="_Toc116458429"/>
      <w:bookmarkEnd w:id="40"/>
      <w:bookmarkEnd w:id="41"/>
      <w:r w:rsidRPr="00F00D94">
        <w:rPr>
          <w:rFonts w:cs="Arial"/>
        </w:rPr>
        <w:lastRenderedPageBreak/>
        <w:t xml:space="preserve">E.  </w:t>
      </w:r>
      <w:bookmarkStart w:id="43" w:name="_Toc442267695"/>
      <w:r w:rsidRPr="00F00D94">
        <w:rPr>
          <w:rFonts w:cs="Arial"/>
        </w:rPr>
        <w:t>ELIGIBILITY</w:t>
      </w:r>
      <w:bookmarkEnd w:id="43"/>
      <w:bookmarkEnd w:id="42"/>
    </w:p>
    <w:p w14:paraId="5DAB0DE7" w14:textId="77777777" w:rsidR="007E5B12" w:rsidRPr="00F00D94" w:rsidRDefault="004655E0" w:rsidP="006672EA">
      <w:pPr>
        <w:pStyle w:val="Heading3"/>
        <w:jc w:val="both"/>
        <w:rPr>
          <w:rFonts w:cs="Arial"/>
        </w:rPr>
      </w:pPr>
      <w:bookmarkStart w:id="44" w:name="_Toc116458430"/>
      <w:r w:rsidRPr="00F00D94">
        <w:rPr>
          <w:rFonts w:cs="Arial"/>
        </w:rPr>
        <w:t xml:space="preserve">OMB </w:t>
      </w:r>
      <w:r w:rsidR="007E5B12" w:rsidRPr="00F00D94">
        <w:rPr>
          <w:rFonts w:cs="Arial"/>
        </w:rPr>
        <w:t>Compliance Requirements</w:t>
      </w:r>
      <w:bookmarkEnd w:id="44"/>
    </w:p>
    <w:p w14:paraId="06414E82"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eligibility are unique to each Federal program and are found in the statutes,</w:t>
      </w:r>
      <w:r w:rsidR="00220B59" w:rsidRPr="00F00D94">
        <w:rPr>
          <w:rFonts w:ascii="Arial" w:hAnsi="Arial" w:cs="Arial"/>
          <w:sz w:val="20"/>
        </w:rPr>
        <w:t xml:space="preserve"> regulations, and the </w:t>
      </w:r>
      <w:r w:rsidR="00134229" w:rsidRPr="00F00D94">
        <w:rPr>
          <w:rFonts w:ascii="Arial" w:hAnsi="Arial" w:cs="Arial"/>
          <w:sz w:val="20"/>
        </w:rPr>
        <w:t>terms and conditions</w:t>
      </w:r>
      <w:r w:rsidRPr="00F00D94">
        <w:rPr>
          <w:rFonts w:ascii="Arial" w:hAnsi="Arial" w:cs="Arial"/>
          <w:sz w:val="20"/>
        </w:rPr>
        <w:t xml:space="preserve"> of </w:t>
      </w:r>
      <w:r w:rsidR="00B720F6" w:rsidRPr="00F00D94">
        <w:rPr>
          <w:rFonts w:ascii="Arial" w:hAnsi="Arial" w:cs="Arial"/>
          <w:sz w:val="20"/>
        </w:rPr>
        <w:t xml:space="preserve">the Federal award </w:t>
      </w:r>
      <w:r w:rsidRPr="00F00D94">
        <w:rPr>
          <w:rFonts w:ascii="Arial" w:hAnsi="Arial" w:cs="Arial"/>
          <w:sz w:val="20"/>
        </w:rPr>
        <w:t>pertaining to the program.  For p</w:t>
      </w:r>
      <w:r w:rsidR="00134229" w:rsidRPr="00F00D94">
        <w:rPr>
          <w:rFonts w:ascii="Arial" w:hAnsi="Arial" w:cs="Arial"/>
          <w:sz w:val="20"/>
        </w:rPr>
        <w:t>rograms listed in the</w:t>
      </w:r>
      <w:r w:rsidRPr="00F00D94">
        <w:rPr>
          <w:rFonts w:ascii="Arial" w:hAnsi="Arial" w:cs="Arial"/>
          <w:sz w:val="20"/>
        </w:rPr>
        <w:t xml:space="preserve"> Supplement, these specif</w:t>
      </w:r>
      <w:r w:rsidR="00B720F6" w:rsidRPr="00F00D94">
        <w:rPr>
          <w:rFonts w:ascii="Arial" w:hAnsi="Arial" w:cs="Arial"/>
          <w:sz w:val="20"/>
        </w:rPr>
        <w:t>ic requirements are in Part 4, “</w:t>
      </w:r>
      <w:r w:rsidRPr="00F00D94">
        <w:rPr>
          <w:rFonts w:ascii="Arial" w:hAnsi="Arial" w:cs="Arial"/>
          <w:sz w:val="20"/>
        </w:rPr>
        <w:t>Agency Program Requirements</w:t>
      </w:r>
      <w:r w:rsidR="00B720F6" w:rsidRPr="00F00D94">
        <w:rPr>
          <w:rFonts w:ascii="Arial" w:hAnsi="Arial" w:cs="Arial"/>
          <w:sz w:val="20"/>
        </w:rPr>
        <w:t>,” or Part 5, “</w:t>
      </w:r>
      <w:r w:rsidRPr="00F00D94">
        <w:rPr>
          <w:rFonts w:ascii="Arial" w:hAnsi="Arial" w:cs="Arial"/>
          <w:sz w:val="20"/>
        </w:rPr>
        <w:t>Clusters of Programs,</w:t>
      </w:r>
      <w:r w:rsidR="00B720F6" w:rsidRPr="00F00D94">
        <w:rPr>
          <w:rFonts w:ascii="Arial" w:hAnsi="Arial" w:cs="Arial"/>
          <w:sz w:val="20"/>
        </w:rPr>
        <w:t>”</w:t>
      </w:r>
      <w:r w:rsidRPr="00F00D94">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0DF345CA"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for eligibility are contained in program legislation, Federal awarding agency regulations, and the terms and conditions of the award.</w:t>
      </w:r>
    </w:p>
    <w:p w14:paraId="48C91FE3" w14:textId="296090FD" w:rsidR="009A0331" w:rsidRPr="00F00D94" w:rsidRDefault="006230CF" w:rsidP="006672EA">
      <w:pPr>
        <w:spacing w:after="240"/>
        <w:jc w:val="both"/>
        <w:rPr>
          <w:rFonts w:ascii="Arial" w:hAnsi="Arial" w:cs="Arial"/>
          <w:i/>
        </w:rPr>
      </w:pPr>
      <w:r w:rsidRPr="00F00D94">
        <w:rPr>
          <w:rFonts w:ascii="Arial" w:hAnsi="Arial" w:cs="Arial"/>
          <w:i/>
          <w:sz w:val="20"/>
        </w:rPr>
        <w:t xml:space="preserve">(Source: </w:t>
      </w:r>
      <w:r w:rsidR="00886F89" w:rsidRPr="00F00D94">
        <w:rPr>
          <w:rFonts w:ascii="Arial" w:hAnsi="Arial" w:cs="Arial"/>
          <w:i/>
          <w:sz w:val="20"/>
        </w:rPr>
        <w:t>202</w:t>
      </w:r>
      <w:r w:rsidR="00096B87"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A1BB1" w:rsidRPr="00F00D94">
        <w:rPr>
          <w:rFonts w:ascii="Arial" w:hAnsi="Arial" w:cs="Arial"/>
          <w:i/>
          <w:sz w:val="20"/>
        </w:rPr>
        <w:t xml:space="preserve">Part </w:t>
      </w:r>
      <w:r w:rsidRPr="00F00D94">
        <w:rPr>
          <w:rFonts w:ascii="Arial" w:hAnsi="Arial" w:cs="Arial"/>
          <w:i/>
          <w:sz w:val="20"/>
        </w:rPr>
        <w:t>3)</w:t>
      </w:r>
    </w:p>
    <w:p w14:paraId="66D92892" w14:textId="16D71FE1"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33E8E326" w14:textId="77777777" w:rsidR="003C616C" w:rsidRPr="000E2BA9" w:rsidRDefault="003C616C" w:rsidP="003C616C">
      <w:pPr>
        <w:pStyle w:val="BodyText"/>
        <w:jc w:val="both"/>
        <w:rPr>
          <w:rFonts w:ascii="Arial" w:hAnsi="Arial" w:cs="Arial"/>
          <w:sz w:val="20"/>
          <w:szCs w:val="20"/>
        </w:rPr>
      </w:pPr>
      <w:r w:rsidRPr="000E2BA9">
        <w:rPr>
          <w:rFonts w:ascii="Arial" w:hAnsi="Arial" w:cs="Arial"/>
          <w:color w:val="231F20"/>
          <w:sz w:val="20"/>
          <w:szCs w:val="20"/>
        </w:rPr>
        <w:t>Treasury expects auditor testing of household eligibility to focus on whether grantees established and adhered to reasonable policies for evaluating household applications within Treasury’s framework providing for the use of self-attestation, categorical eligibility, and fact-specific proxies in qualifying circumstances.</w:t>
      </w:r>
    </w:p>
    <w:p w14:paraId="3CCD89F4" w14:textId="12BE9DD0" w:rsidR="003C616C" w:rsidRPr="000E2BA9" w:rsidRDefault="003C616C" w:rsidP="003C616C">
      <w:pPr>
        <w:pStyle w:val="BodyText"/>
        <w:spacing w:before="230"/>
        <w:jc w:val="both"/>
        <w:rPr>
          <w:rFonts w:ascii="Arial" w:hAnsi="Arial" w:cs="Arial"/>
          <w:sz w:val="20"/>
          <w:szCs w:val="20"/>
        </w:rPr>
      </w:pPr>
      <w:r w:rsidRPr="000E2BA9">
        <w:rPr>
          <w:rFonts w:ascii="Arial" w:hAnsi="Arial" w:cs="Arial"/>
          <w:color w:val="231F20"/>
          <w:sz w:val="20"/>
          <w:szCs w:val="20"/>
        </w:rPr>
        <w:t>This approach to eligibility was implemented in accordance with Consolidated Appropriations Act, 2021, for ERA 1 in sections 501(c)(2)(C)(ii) of the Act concerning documentation of payments to households, sections 501(f)(2)(A) and (B) of the Act concerning signature requirements for applications and documentation required for tenants, section 501(k)(1) concerning area median income determinations, and sections 501(k)(3)(A)(I) and (II) concerning eligible household determinations and attestation requirements. This treatment is further explained in the ERA FAQs; the Consolidated Appropriations Act, 2021; and the Treasury, Department of Justice and Department of Housing and Urban Development joint letter issued August 27, 2021 (</w:t>
      </w:r>
      <w:hyperlink r:id="rId77" w:history="1">
        <w:r w:rsidR="00950585" w:rsidRPr="00BD063D">
          <w:rPr>
            <w:rStyle w:val="Hyperlink"/>
            <w:rFonts w:ascii="Arial" w:hAnsi="Arial" w:cs="Arial"/>
            <w:sz w:val="20"/>
            <w:szCs w:val="20"/>
            <w:u w:color="2E75B5"/>
          </w:rPr>
          <w:t>https://home.treasury.gov/sy</w:t>
        </w:r>
        <w:r w:rsidR="00950585" w:rsidRPr="00BD063D">
          <w:rPr>
            <w:rStyle w:val="Hyperlink"/>
            <w:rFonts w:ascii="Arial" w:hAnsi="Arial" w:cs="Arial"/>
            <w:sz w:val="20"/>
            <w:szCs w:val="20"/>
            <w:u w:color="2E75B5"/>
          </w:rPr>
          <w:t>s</w:t>
        </w:r>
        <w:r w:rsidR="00950585" w:rsidRPr="00BD063D">
          <w:rPr>
            <w:rStyle w:val="Hyperlink"/>
            <w:rFonts w:ascii="Arial" w:hAnsi="Arial" w:cs="Arial"/>
            <w:sz w:val="20"/>
            <w:szCs w:val="20"/>
            <w:u w:color="2E75B5"/>
          </w:rPr>
          <w:t>tem/files/136/Eviction-Moratorium-Joint-Letter.pdf</w:t>
        </w:r>
      </w:hyperlink>
      <w:r w:rsidR="00950585">
        <w:rPr>
          <w:rFonts w:ascii="Arial" w:hAnsi="Arial" w:cs="Arial"/>
          <w:color w:val="2E75B5"/>
          <w:sz w:val="20"/>
          <w:szCs w:val="20"/>
          <w:u w:val="single" w:color="2E75B5"/>
        </w:rPr>
        <w:t xml:space="preserve"> </w:t>
      </w:r>
      <w:r w:rsidRPr="000E2BA9">
        <w:rPr>
          <w:rFonts w:ascii="Arial" w:hAnsi="Arial" w:cs="Arial"/>
          <w:color w:val="231F20"/>
          <w:sz w:val="20"/>
          <w:szCs w:val="20"/>
        </w:rPr>
        <w:t>).</w:t>
      </w:r>
    </w:p>
    <w:p w14:paraId="055427D9" w14:textId="0CF5F347" w:rsidR="003C616C" w:rsidRPr="000E2BA9" w:rsidRDefault="003C616C" w:rsidP="003C616C">
      <w:pPr>
        <w:pStyle w:val="BodyText"/>
        <w:jc w:val="both"/>
        <w:rPr>
          <w:rFonts w:ascii="Arial" w:hAnsi="Arial" w:cs="Arial"/>
          <w:sz w:val="20"/>
          <w:szCs w:val="20"/>
        </w:rPr>
      </w:pPr>
      <w:r w:rsidRPr="000E2BA9">
        <w:rPr>
          <w:rFonts w:ascii="Arial" w:hAnsi="Arial" w:cs="Arial"/>
          <w:color w:val="231F20"/>
          <w:sz w:val="20"/>
          <w:szCs w:val="20"/>
        </w:rPr>
        <w:t>To the extent that a grantee has established and consistently followed its own reasonable procedures for implementing an eligibility determination process, consistent with Treasury’s guidance, it is not Treasury’s expectation that grantees should seek additional documentation from a beneficiary after the initial determination of eligibility has been completed, including for those determined to be eligible using self-attestation, categorical eligibility, or fact-specific proxies in qualifying circumstances. Testing of individual household eligibility-related documentation should be limited to material already collected by the grantee during application as much as possible to avoid imposing undue burden on households that remain at risk of housing instability.</w:t>
      </w:r>
    </w:p>
    <w:p w14:paraId="1C29230D" w14:textId="3EB2EB35" w:rsidR="003C616C" w:rsidRPr="000E2BA9" w:rsidRDefault="003C616C" w:rsidP="003C616C">
      <w:pPr>
        <w:pStyle w:val="BodyText"/>
        <w:jc w:val="both"/>
        <w:rPr>
          <w:rFonts w:ascii="Arial" w:hAnsi="Arial" w:cs="Arial"/>
          <w:sz w:val="20"/>
          <w:szCs w:val="20"/>
        </w:rPr>
      </w:pPr>
      <w:r w:rsidRPr="000E2BA9">
        <w:rPr>
          <w:rFonts w:ascii="Arial" w:hAnsi="Arial" w:cs="Arial"/>
          <w:color w:val="231F20"/>
          <w:sz w:val="20"/>
          <w:szCs w:val="20"/>
        </w:rPr>
        <w:t>Treasury guidance related to determining where an applicant lives and the amount that they owe can be found in FAQ 5. Grantees must obtain, if available, a current lease, signed by the applicant and the landlord or sublessor, that identifies the unit where the applicant resides and establishes the rental payment amount. If a household does not have a signed lease, documentation of residence may include evidence of paying utilities for the residential unit, an attestation by a landlord who can be identified as the verified owner or management agent of the unit, or other reasonable documentation as determined by the grantee. In the absence of a signed lease, evidence of the amount of a rental payment may include bank statements, check stubs, or other documentation that reasonably establishes a pattern of paying rent, a written attestation by a landlord who can be verified as the legitimate owner or management agent of the unit, or other reasonable documentation as defined by the grantee in its policies and</w:t>
      </w:r>
      <w:r w:rsidRPr="000E2BA9">
        <w:rPr>
          <w:rFonts w:ascii="Arial" w:hAnsi="Arial" w:cs="Arial"/>
          <w:color w:val="231F20"/>
          <w:spacing w:val="-33"/>
          <w:sz w:val="20"/>
          <w:szCs w:val="20"/>
        </w:rPr>
        <w:t xml:space="preserve"> </w:t>
      </w:r>
      <w:r w:rsidRPr="000E2BA9">
        <w:rPr>
          <w:rFonts w:ascii="Arial" w:hAnsi="Arial" w:cs="Arial"/>
          <w:color w:val="231F20"/>
          <w:sz w:val="20"/>
          <w:szCs w:val="20"/>
        </w:rPr>
        <w:t>procedures.</w:t>
      </w:r>
    </w:p>
    <w:p w14:paraId="36D7808D" w14:textId="725B7F4D" w:rsidR="003C616C" w:rsidRPr="000E2BA9" w:rsidRDefault="003C616C" w:rsidP="003C616C">
      <w:pPr>
        <w:pStyle w:val="BodyText"/>
        <w:spacing w:before="1"/>
        <w:jc w:val="both"/>
        <w:rPr>
          <w:rFonts w:ascii="Arial" w:hAnsi="Arial" w:cs="Arial"/>
          <w:sz w:val="20"/>
          <w:szCs w:val="20"/>
        </w:rPr>
      </w:pPr>
      <w:r w:rsidRPr="000E2BA9">
        <w:rPr>
          <w:rFonts w:ascii="Arial" w:hAnsi="Arial" w:cs="Arial"/>
          <w:color w:val="231F20"/>
          <w:sz w:val="20"/>
          <w:szCs w:val="20"/>
        </w:rPr>
        <w:lastRenderedPageBreak/>
        <w:t>Additional Treasury guidance related to income determination can be found in FAQ 4 and related guidance (</w:t>
      </w:r>
      <w:hyperlink r:id="rId78" w:history="1">
        <w:r w:rsidR="00950585" w:rsidRPr="00BD063D">
          <w:rPr>
            <w:rStyle w:val="Hyperlink"/>
            <w:rFonts w:ascii="Arial" w:hAnsi="Arial" w:cs="Arial"/>
            <w:sz w:val="20"/>
            <w:szCs w:val="20"/>
            <w:u w:color="2E75B5"/>
          </w:rPr>
          <w:t>https://home.treasury.gov/syste</w:t>
        </w:r>
        <w:r w:rsidR="00950585" w:rsidRPr="00BD063D">
          <w:rPr>
            <w:rStyle w:val="Hyperlink"/>
            <w:rFonts w:ascii="Arial" w:hAnsi="Arial" w:cs="Arial"/>
            <w:sz w:val="20"/>
            <w:szCs w:val="20"/>
            <w:u w:color="2E75B5"/>
          </w:rPr>
          <w:t>m</w:t>
        </w:r>
        <w:r w:rsidR="00950585" w:rsidRPr="00BD063D">
          <w:rPr>
            <w:rStyle w:val="Hyperlink"/>
            <w:rFonts w:ascii="Arial" w:hAnsi="Arial" w:cs="Arial"/>
            <w:sz w:val="20"/>
            <w:szCs w:val="20"/>
            <w:u w:color="2E75B5"/>
          </w:rPr>
          <w:t>/files/136/ERA-FAQ-8-25-2021.pdf</w:t>
        </w:r>
      </w:hyperlink>
      <w:r w:rsidR="00950585">
        <w:rPr>
          <w:rFonts w:ascii="Arial" w:hAnsi="Arial" w:cs="Arial"/>
          <w:color w:val="2E75B5"/>
          <w:sz w:val="20"/>
          <w:szCs w:val="20"/>
          <w:u w:val="single" w:color="2E75B5"/>
        </w:rPr>
        <w:t xml:space="preserve"> </w:t>
      </w:r>
      <w:r w:rsidRPr="000E2BA9">
        <w:rPr>
          <w:rFonts w:ascii="Arial" w:hAnsi="Arial" w:cs="Arial"/>
          <w:color w:val="231F20"/>
          <w:sz w:val="20"/>
          <w:szCs w:val="20"/>
        </w:rPr>
        <w:t>). ERA 2 builds on the eligibility criteria in ERA 1 and permits additional flexibilities.</w:t>
      </w:r>
    </w:p>
    <w:p w14:paraId="27AB0586" w14:textId="6717F399" w:rsidR="003C616C" w:rsidRPr="000E2BA9" w:rsidRDefault="003C616C" w:rsidP="003C616C">
      <w:pPr>
        <w:pStyle w:val="BodyText"/>
        <w:jc w:val="both"/>
        <w:rPr>
          <w:rFonts w:ascii="Arial" w:hAnsi="Arial" w:cs="Arial"/>
          <w:sz w:val="20"/>
          <w:szCs w:val="20"/>
        </w:rPr>
      </w:pPr>
      <w:r w:rsidRPr="000E2BA9">
        <w:rPr>
          <w:rFonts w:ascii="Arial" w:hAnsi="Arial" w:cs="Arial"/>
          <w:color w:val="231F20"/>
          <w:sz w:val="20"/>
          <w:szCs w:val="20"/>
        </w:rPr>
        <w:t>The ERA FAQs document the full eligibility considerations for grantees to extend emergency assistance to vulnerable populations without imposing undue documentation burdens. As described, given the challenges presented by the COVID-19 pandemic, grantees may be flexible as to the particular form of documentation they require, including by permitting photocopies or digital photographs of documents, e-mails, or attestations from employers, landlords, caseworkers, or others with knowledge of the</w:t>
      </w:r>
      <w:r w:rsidRPr="000E2BA9">
        <w:rPr>
          <w:rFonts w:ascii="Arial" w:hAnsi="Arial" w:cs="Arial"/>
          <w:sz w:val="20"/>
          <w:szCs w:val="20"/>
        </w:rPr>
        <w:t xml:space="preserve"> </w:t>
      </w:r>
      <w:r w:rsidRPr="000E2BA9">
        <w:rPr>
          <w:rFonts w:ascii="Arial" w:hAnsi="Arial" w:cs="Arial"/>
          <w:color w:val="231F20"/>
          <w:sz w:val="20"/>
          <w:szCs w:val="20"/>
        </w:rPr>
        <w:t>household’s circumstances. Grantees must require all applications for assistance to include an attestation from the applicant household that all information included is correct and complete. In all cases, grantees must document their policies and procedures for determining household eligibility to include policies and procedures for determining the prioritization of households in compliance with the statute and maintain records of their determinations.</w:t>
      </w:r>
    </w:p>
    <w:p w14:paraId="7B0FF23F" w14:textId="6D4C544A" w:rsidR="003C616C" w:rsidRPr="000E2BA9" w:rsidRDefault="003C616C" w:rsidP="003C616C">
      <w:pPr>
        <w:pStyle w:val="BodyText"/>
        <w:jc w:val="both"/>
        <w:rPr>
          <w:rFonts w:ascii="Arial" w:hAnsi="Arial" w:cs="Arial"/>
          <w:sz w:val="20"/>
          <w:szCs w:val="20"/>
        </w:rPr>
      </w:pPr>
      <w:r w:rsidRPr="000E2BA9">
        <w:rPr>
          <w:rFonts w:ascii="Arial" w:hAnsi="Arial" w:cs="Arial"/>
          <w:color w:val="231F20"/>
          <w:sz w:val="20"/>
          <w:szCs w:val="20"/>
        </w:rPr>
        <w:t>Grantees may rely on a written attestation without further documentation of household income from the applicant under three approaches:</w:t>
      </w:r>
    </w:p>
    <w:p w14:paraId="7A333E6D" w14:textId="51F263EB" w:rsidR="003C616C" w:rsidRPr="00950585" w:rsidRDefault="003C616C" w:rsidP="00950585">
      <w:pPr>
        <w:pStyle w:val="ListParagraph"/>
        <w:widowControl w:val="0"/>
        <w:numPr>
          <w:ilvl w:val="1"/>
          <w:numId w:val="48"/>
        </w:numPr>
        <w:tabs>
          <w:tab w:val="left" w:pos="1639"/>
          <w:tab w:val="left" w:pos="1640"/>
        </w:tabs>
        <w:suppressAutoHyphens w:val="0"/>
        <w:adjustRightInd/>
        <w:spacing w:after="240"/>
        <w:ind w:left="1440"/>
        <w:jc w:val="both"/>
        <w:rPr>
          <w:rFonts w:ascii="Arial" w:hAnsi="Arial" w:cs="Arial"/>
        </w:rPr>
      </w:pPr>
      <w:r w:rsidRPr="000E2BA9">
        <w:rPr>
          <w:rFonts w:ascii="Arial" w:hAnsi="Arial" w:cs="Arial"/>
          <w:color w:val="231F20"/>
        </w:rPr>
        <w:t xml:space="preserve">Self-attestation Alone – In order to provide assistance rapidly during the public health emergency related to COVID-19, the grantee may rely on a self-attestation of household income, financial hardship, and/or risk of homelessness and housing instability without further verification if the applicant confirms in their application or other document that they are unable to provide documentation, provided the other requirements detailed in Treasury guidance are satisfied. If an applicant is able to provide satisfactory evidence of residence but is unable to present adequate documentation of the amount of the rental obligation, grantees may accept a written attestation from the applicant to support the payment of assistance up to a monthly maximum of 100 percent of the greater of the Fair Market Rent or the Small Area Fair Market Rent for the area in which the applicant resides, as most recently determined by HUD and made available </w:t>
      </w:r>
      <w:r w:rsidRPr="00950585">
        <w:rPr>
          <w:rFonts w:ascii="Arial" w:hAnsi="Arial" w:cs="Arial"/>
          <w:color w:val="231F20"/>
        </w:rPr>
        <w:t>at</w:t>
      </w:r>
      <w:r w:rsidRPr="00950585">
        <w:rPr>
          <w:rFonts w:ascii="Arial" w:hAnsi="Arial" w:cs="Arial"/>
          <w:color w:val="2E75B5"/>
          <w:u w:val="single" w:color="2E75B5"/>
        </w:rPr>
        <w:t xml:space="preserve"> </w:t>
      </w:r>
      <w:hyperlink r:id="rId79" w:history="1">
        <w:r w:rsidR="00950585" w:rsidRPr="00950585">
          <w:rPr>
            <w:rStyle w:val="Hyperlink"/>
            <w:rFonts w:ascii="Arial" w:hAnsi="Arial" w:cs="Arial"/>
          </w:rPr>
          <w:t>Fair Mark</w:t>
        </w:r>
        <w:r w:rsidR="00950585" w:rsidRPr="00950585">
          <w:rPr>
            <w:rStyle w:val="Hyperlink"/>
            <w:rFonts w:ascii="Arial" w:hAnsi="Arial" w:cs="Arial"/>
          </w:rPr>
          <w:t>e</w:t>
        </w:r>
        <w:r w:rsidR="00950585" w:rsidRPr="00950585">
          <w:rPr>
            <w:rStyle w:val="Hyperlink"/>
            <w:rFonts w:ascii="Arial" w:hAnsi="Arial" w:cs="Arial"/>
          </w:rPr>
          <w:t>t Rents (40th PERCENTILE RENTS) | HUD USER</w:t>
        </w:r>
      </w:hyperlink>
      <w:r w:rsidRPr="00950585">
        <w:rPr>
          <w:rFonts w:ascii="Arial" w:hAnsi="Arial" w:cs="Arial"/>
          <w:color w:val="231F20"/>
        </w:rPr>
        <w:t>;</w:t>
      </w:r>
    </w:p>
    <w:p w14:paraId="01A00E3E" w14:textId="5AEFFD1F" w:rsidR="003C616C" w:rsidRPr="00950585" w:rsidRDefault="003C616C" w:rsidP="00950585">
      <w:pPr>
        <w:pStyle w:val="ListParagraph"/>
        <w:widowControl w:val="0"/>
        <w:numPr>
          <w:ilvl w:val="1"/>
          <w:numId w:val="48"/>
        </w:numPr>
        <w:tabs>
          <w:tab w:val="left" w:pos="1639"/>
          <w:tab w:val="left" w:pos="1640"/>
        </w:tabs>
        <w:suppressAutoHyphens w:val="0"/>
        <w:adjustRightInd/>
        <w:spacing w:after="240"/>
        <w:ind w:left="1440"/>
        <w:jc w:val="both"/>
        <w:rPr>
          <w:rFonts w:ascii="Arial" w:hAnsi="Arial" w:cs="Arial"/>
        </w:rPr>
      </w:pPr>
      <w:r w:rsidRPr="000E2BA9">
        <w:rPr>
          <w:rFonts w:ascii="Arial" w:hAnsi="Arial" w:cs="Arial"/>
          <w:color w:val="231F20"/>
        </w:rPr>
        <w:t>Categorical Eligibility – If an applicant household income has been verified to be at or below 80 percent of the area median income (for ERA 1) or if an applicant household has been verified as a low-income family as defined in Section 3(b) of the United States Housing Act of 1937 (42 USC 1437a(b)) (for ERA 2) in connection with another local, state, or federal government assistance program, grantees are permitted to rely on a determination letter from the government agency that verified the applicant’s household income or status as a low-income family, provided that the determination for such program was made on or after January 1, 2020;</w:t>
      </w:r>
      <w:r w:rsidRPr="000E2BA9">
        <w:rPr>
          <w:rFonts w:ascii="Arial" w:hAnsi="Arial" w:cs="Arial"/>
          <w:color w:val="231F20"/>
          <w:spacing w:val="-4"/>
        </w:rPr>
        <w:t xml:space="preserve"> </w:t>
      </w:r>
      <w:r w:rsidRPr="000E2BA9">
        <w:rPr>
          <w:rFonts w:ascii="Arial" w:hAnsi="Arial" w:cs="Arial"/>
          <w:color w:val="231F20"/>
        </w:rPr>
        <w:t>and/or</w:t>
      </w:r>
    </w:p>
    <w:p w14:paraId="29BE14C7" w14:textId="43CE646E" w:rsidR="003C616C" w:rsidRPr="00950585" w:rsidRDefault="003C616C" w:rsidP="00950585">
      <w:pPr>
        <w:pStyle w:val="ListParagraph"/>
        <w:widowControl w:val="0"/>
        <w:numPr>
          <w:ilvl w:val="1"/>
          <w:numId w:val="48"/>
        </w:numPr>
        <w:tabs>
          <w:tab w:val="left" w:pos="1639"/>
          <w:tab w:val="left" w:pos="1640"/>
        </w:tabs>
        <w:suppressAutoHyphens w:val="0"/>
        <w:adjustRightInd/>
        <w:spacing w:after="240"/>
        <w:ind w:left="1440"/>
        <w:jc w:val="both"/>
        <w:rPr>
          <w:rFonts w:ascii="Arial" w:hAnsi="Arial" w:cs="Arial"/>
        </w:rPr>
      </w:pPr>
      <w:r w:rsidRPr="000E2BA9">
        <w:rPr>
          <w:rFonts w:ascii="Arial" w:hAnsi="Arial" w:cs="Arial"/>
          <w:color w:val="231F20"/>
        </w:rPr>
        <w:t>Fact-specific proxy – A grantee may rely on a written attestation from the applicant household as to household income if the grantee also uses any reasonable fact-specific proxy for household income, such as reliance on data regarding average incomes in the household’s geographic area. Grantees also have discretion to provide waivers or exceptions to this documentation requirement to accommodate disabilities, extenuating circumstances related to the pandemic, or a lack of technological access. In these cases, the grantee is still responsible for making the required determination regarding the applicant’s household income and documenting that</w:t>
      </w:r>
      <w:r w:rsidRPr="000E2BA9">
        <w:rPr>
          <w:rFonts w:ascii="Arial" w:hAnsi="Arial" w:cs="Arial"/>
          <w:color w:val="231F20"/>
          <w:spacing w:val="-5"/>
        </w:rPr>
        <w:t xml:space="preserve"> </w:t>
      </w:r>
      <w:r w:rsidRPr="000E2BA9">
        <w:rPr>
          <w:rFonts w:ascii="Arial" w:hAnsi="Arial" w:cs="Arial"/>
          <w:color w:val="231F20"/>
        </w:rPr>
        <w:t>determination.</w:t>
      </w:r>
    </w:p>
    <w:p w14:paraId="41F150AC" w14:textId="0CC135FC" w:rsidR="003C616C" w:rsidRPr="000E2BA9" w:rsidRDefault="003C616C" w:rsidP="00950585">
      <w:pPr>
        <w:pStyle w:val="BodyText"/>
        <w:jc w:val="both"/>
        <w:rPr>
          <w:rFonts w:ascii="Arial" w:hAnsi="Arial" w:cs="Arial"/>
          <w:sz w:val="20"/>
          <w:szCs w:val="20"/>
        </w:rPr>
      </w:pPr>
      <w:r w:rsidRPr="000E2BA9">
        <w:rPr>
          <w:rFonts w:ascii="Arial" w:hAnsi="Arial" w:cs="Arial"/>
          <w:color w:val="231F20"/>
          <w:sz w:val="20"/>
          <w:szCs w:val="20"/>
        </w:rPr>
        <w:t>Grantees have discretion to provide waivers or exceptions to certain documentation requirements to accommodate disabilities, extenuating circumstances related to the</w:t>
      </w:r>
      <w:r w:rsidRPr="000E2BA9">
        <w:rPr>
          <w:rFonts w:ascii="Arial" w:hAnsi="Arial" w:cs="Arial"/>
          <w:sz w:val="20"/>
          <w:szCs w:val="20"/>
        </w:rPr>
        <w:t xml:space="preserve"> </w:t>
      </w:r>
      <w:r w:rsidRPr="000E2BA9">
        <w:rPr>
          <w:rFonts w:ascii="Arial" w:hAnsi="Arial" w:cs="Arial"/>
          <w:color w:val="231F20"/>
          <w:sz w:val="20"/>
          <w:szCs w:val="20"/>
        </w:rPr>
        <w:t xml:space="preserve">pandemic, or a lack of technological access. In these cases, the grantee is still responsible for making the required determination regarding the applicant’s household income and documenting that determination. Pursuant to section 501(k)(3)(B) of Division N of the Consolidated Appropriations Act, 2021, and 2 CFR 200.403, when providing ERA 1 assistance, the grantee must review the household’s income and sources of assistance to confirm that the </w:t>
      </w:r>
      <w:r w:rsidRPr="000E2BA9">
        <w:rPr>
          <w:rFonts w:ascii="Arial" w:hAnsi="Arial" w:cs="Arial"/>
          <w:color w:val="231F20"/>
          <w:sz w:val="20"/>
          <w:szCs w:val="20"/>
        </w:rPr>
        <w:lastRenderedPageBreak/>
        <w:t>ERA 1 assistance does not duplicate any other assistance, including federal, state, or local assistance provided for the same costs. Grantees may rely on an attestation from the applicant regarding non-duplication with other government assistance, and the duplication requirement does not apply to ERA 2; however, to maximize program efficacy, Treasury encourages grantees to minimize the provision of duplicative assistance.</w:t>
      </w:r>
    </w:p>
    <w:p w14:paraId="61B0BD95" w14:textId="38D42CD6" w:rsidR="003C616C" w:rsidRDefault="003C616C" w:rsidP="00950585">
      <w:pPr>
        <w:pStyle w:val="BodyText"/>
        <w:jc w:val="both"/>
        <w:rPr>
          <w:rFonts w:ascii="Arial" w:hAnsi="Arial" w:cs="Arial"/>
          <w:color w:val="231F20"/>
          <w:sz w:val="20"/>
          <w:szCs w:val="20"/>
        </w:rPr>
      </w:pPr>
      <w:r w:rsidRPr="000E2BA9">
        <w:rPr>
          <w:rFonts w:ascii="Arial" w:hAnsi="Arial" w:cs="Arial"/>
          <w:color w:val="231F20"/>
          <w:sz w:val="20"/>
          <w:szCs w:val="20"/>
        </w:rPr>
        <w:t>Treasury strongly encourages grantees to rely on the self-certification of applicants with regard to whether their financial hardship meet statutory eligibility requirements.</w:t>
      </w:r>
      <w:r w:rsidRPr="000E2BA9">
        <w:rPr>
          <w:rFonts w:ascii="Arial" w:hAnsi="Arial" w:cs="Arial"/>
          <w:sz w:val="20"/>
          <w:szCs w:val="20"/>
        </w:rPr>
        <w:t xml:space="preserve"> </w:t>
      </w:r>
      <w:r w:rsidRPr="000E2BA9">
        <w:rPr>
          <w:rFonts w:ascii="Arial" w:hAnsi="Arial" w:cs="Arial"/>
          <w:color w:val="231F20"/>
          <w:sz w:val="20"/>
          <w:szCs w:val="20"/>
        </w:rPr>
        <w:t>Similarly, with respect to determining whether one or more individuals within the household can demonstrate a risk of experiencing homelessness or housing instability, Treasury indicates that a grantee may rely on a past due utility or rent notice or eviction notice, evidence of unsafe or unhealthy living conditions (which may include overcrowding) or any other evidence of risk, as determined by the grantee. Treasury clearly indicates that a grantee may rely on an applicant’s self-certification identifying the applicable risk factor or factors, without further documentation, if other documentation is not immediately available.</w:t>
      </w:r>
    </w:p>
    <w:p w14:paraId="3EC8D958" w14:textId="5FEFA574" w:rsidR="00C015A8" w:rsidRPr="000E2BA9" w:rsidRDefault="00C015A8" w:rsidP="00950585">
      <w:pPr>
        <w:spacing w:after="240"/>
        <w:jc w:val="both"/>
      </w:pPr>
      <w:r w:rsidRPr="00BC7F42">
        <w:rPr>
          <w:rFonts w:ascii="Arial" w:hAnsi="Arial" w:cs="Arial"/>
          <w:bCs/>
          <w:i/>
          <w:sz w:val="20"/>
        </w:rPr>
        <w:t xml:space="preserve">(Source: </w:t>
      </w:r>
      <w:r>
        <w:rPr>
          <w:rFonts w:ascii="Arial" w:hAnsi="Arial" w:cs="Arial"/>
          <w:bCs/>
          <w:i/>
          <w:sz w:val="20"/>
        </w:rPr>
        <w:t>2022 OMB Compliance Supplement, Part 4, Treasury, Emergency Rental Assistance Program)</w:t>
      </w:r>
    </w:p>
    <w:p w14:paraId="0BC66884" w14:textId="77777777" w:rsidR="00E039F3" w:rsidRPr="00F00D94" w:rsidRDefault="00E039F3" w:rsidP="00950585">
      <w:pPr>
        <w:pStyle w:val="Heading3"/>
        <w:spacing w:line="240" w:lineRule="auto"/>
        <w:jc w:val="both"/>
        <w:rPr>
          <w:rFonts w:cs="Arial"/>
        </w:rPr>
      </w:pPr>
      <w:bookmarkStart w:id="45" w:name="_Toc116458431"/>
      <w:r w:rsidRPr="00F00D94">
        <w:rPr>
          <w:rFonts w:cs="Arial"/>
        </w:rPr>
        <w:t>Additional Program Specific Information</w:t>
      </w:r>
      <w:bookmarkEnd w:id="45"/>
    </w:p>
    <w:p w14:paraId="55A435CA" w14:textId="256DF755" w:rsidR="0011590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F00D94">
        <w:rPr>
          <w:rFonts w:ascii="Arial" w:hAnsi="Arial" w:cs="Arial"/>
          <w:b/>
          <w:sz w:val="20"/>
          <w:highlight w:val="yellow"/>
        </w:rPr>
        <w:t xml:space="preserve">This section should contain program specific information for Eligibility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the yellow highlighted text. Be sure to indicate the source of your information. If no additional requirements are noted, indicate as such.</w:t>
      </w:r>
    </w:p>
    <w:p w14:paraId="779A9C14" w14:textId="77777777" w:rsidR="00950585" w:rsidRDefault="00950585" w:rsidP="00950585">
      <w:pPr>
        <w:spacing w:after="240"/>
        <w:jc w:val="both"/>
        <w:rPr>
          <w:rFonts w:ascii="Arial" w:hAnsi="Arial" w:cs="Arial"/>
          <w:sz w:val="20"/>
        </w:rPr>
      </w:pPr>
      <w:r w:rsidRPr="004D3CF3">
        <w:rPr>
          <w:rFonts w:ascii="Arial" w:hAnsi="Arial" w:cs="Arial"/>
          <w:sz w:val="20"/>
          <w:highlight w:val="green"/>
        </w:rPr>
        <w:t>CFAE Note</w:t>
      </w:r>
      <w:r>
        <w:rPr>
          <w:rFonts w:ascii="Arial" w:hAnsi="Arial" w:cs="Arial"/>
          <w:sz w:val="20"/>
        </w:rPr>
        <w:t>: Auditors should clearly document the eligibility process implemented by the recipient, including who is responsible for the eligibility process step-by-step, the application process, and the final eligibility determinations. This process will be unique to individual recipients and drives both control and compliance testing.</w:t>
      </w:r>
    </w:p>
    <w:p w14:paraId="184E516A" w14:textId="3023522F" w:rsidR="00950585" w:rsidRPr="00950585" w:rsidRDefault="00950585" w:rsidP="00950585">
      <w:pPr>
        <w:spacing w:after="240"/>
        <w:jc w:val="both"/>
        <w:rPr>
          <w:rFonts w:ascii="Arial" w:hAnsi="Arial" w:cs="Arial"/>
          <w:i/>
          <w:sz w:val="20"/>
        </w:rPr>
      </w:pPr>
      <w:r w:rsidRPr="00950585">
        <w:rPr>
          <w:rFonts w:ascii="Arial" w:hAnsi="Arial" w:cs="Arial"/>
          <w:i/>
          <w:sz w:val="20"/>
        </w:rPr>
        <w:t xml:space="preserve">(Source: </w:t>
      </w:r>
      <w:r w:rsidRPr="00950585">
        <w:rPr>
          <w:rFonts w:ascii="Arial" w:hAnsi="Arial" w:cs="Arial"/>
          <w:i/>
          <w:sz w:val="20"/>
          <w:highlight w:val="green"/>
        </w:rPr>
        <w:t>CFAE</w:t>
      </w:r>
      <w:r w:rsidRPr="00950585">
        <w:rPr>
          <w:rFonts w:ascii="Arial" w:hAnsi="Arial" w:cs="Arial"/>
          <w:i/>
          <w:sz w:val="20"/>
        </w:rPr>
        <w:t>)</w:t>
      </w:r>
    </w:p>
    <w:p w14:paraId="3A7977D9" w14:textId="77777777" w:rsidR="000A19FC" w:rsidRPr="00F00D94" w:rsidRDefault="00DD3AF7" w:rsidP="006672EA">
      <w:pPr>
        <w:pStyle w:val="Heading3"/>
        <w:jc w:val="both"/>
        <w:rPr>
          <w:rFonts w:cs="Arial"/>
        </w:rPr>
      </w:pPr>
      <w:bookmarkStart w:id="46" w:name="_Toc116458432"/>
      <w:r w:rsidRPr="00F00D94">
        <w:rPr>
          <w:rFonts w:cs="Arial"/>
        </w:rPr>
        <w:t xml:space="preserve">Audit Objectives </w:t>
      </w:r>
      <w:r w:rsidR="001F23FF" w:rsidRPr="00F00D94">
        <w:rPr>
          <w:rFonts w:cs="Arial"/>
        </w:rPr>
        <w:t>and Control Testing</w:t>
      </w:r>
      <w:bookmarkEnd w:id="46"/>
    </w:p>
    <w:p w14:paraId="17F1C167" w14:textId="4E37A399"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095431E" w14:textId="0938CF03" w:rsidR="008F7129" w:rsidRPr="00F00D94" w:rsidRDefault="00B013E4" w:rsidP="00437268">
      <w:pPr>
        <w:pStyle w:val="BodyText"/>
        <w:widowControl w:val="0"/>
        <w:numPr>
          <w:ilvl w:val="0"/>
          <w:numId w:val="36"/>
        </w:numPr>
        <w:autoSpaceDE w:val="0"/>
        <w:autoSpaceDN w:val="0"/>
        <w:spacing w:after="0"/>
        <w:rPr>
          <w:rFonts w:ascii="Arial" w:hAnsi="Arial" w:cs="Arial"/>
          <w:sz w:val="20"/>
          <w:szCs w:val="20"/>
        </w:rPr>
      </w:pPr>
      <w:hyperlink r:id="rId80"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693CA04D" w14:textId="636A597D" w:rsidR="008F7129" w:rsidRPr="00F00D94" w:rsidRDefault="00B013E4" w:rsidP="00437268">
      <w:pPr>
        <w:pStyle w:val="BodyText"/>
        <w:widowControl w:val="0"/>
        <w:numPr>
          <w:ilvl w:val="0"/>
          <w:numId w:val="36"/>
        </w:numPr>
        <w:autoSpaceDE w:val="0"/>
        <w:autoSpaceDN w:val="0"/>
        <w:spacing w:after="0"/>
        <w:rPr>
          <w:rFonts w:ascii="Arial" w:hAnsi="Arial" w:cs="Arial"/>
          <w:sz w:val="20"/>
          <w:szCs w:val="20"/>
        </w:rPr>
      </w:pPr>
      <w:hyperlink r:id="rId81" w:history="1">
        <w:r w:rsidR="008F7129" w:rsidRPr="00F00D94">
          <w:rPr>
            <w:rStyle w:val="Hyperlink"/>
            <w:rFonts w:ascii="Arial" w:hAnsi="Arial" w:cs="Arial"/>
            <w:sz w:val="20"/>
            <w:szCs w:val="20"/>
          </w:rPr>
          <w:t>2013 COSO</w:t>
        </w:r>
      </w:hyperlink>
    </w:p>
    <w:p w14:paraId="55DE91F9" w14:textId="01F8017B" w:rsidR="008F7129" w:rsidRPr="00F00D94" w:rsidRDefault="00B013E4" w:rsidP="00437268">
      <w:pPr>
        <w:pStyle w:val="BodyText"/>
        <w:widowControl w:val="0"/>
        <w:numPr>
          <w:ilvl w:val="0"/>
          <w:numId w:val="36"/>
        </w:numPr>
        <w:autoSpaceDE w:val="0"/>
        <w:autoSpaceDN w:val="0"/>
        <w:rPr>
          <w:rStyle w:val="Hyperlink"/>
          <w:rFonts w:ascii="Arial" w:hAnsi="Arial" w:cs="Arial"/>
          <w:color w:val="auto"/>
          <w:sz w:val="20"/>
          <w:szCs w:val="20"/>
          <w:u w:val="none"/>
        </w:rPr>
      </w:pPr>
      <w:hyperlink r:id="rId82" w:history="1">
        <w:r w:rsidR="008F7129" w:rsidRPr="00F00D94">
          <w:rPr>
            <w:rStyle w:val="Hyperlink"/>
            <w:rFonts w:ascii="Arial" w:hAnsi="Arial" w:cs="Arial"/>
            <w:sz w:val="20"/>
            <w:szCs w:val="20"/>
          </w:rPr>
          <w:t>GAO’s 2014 Green Book</w:t>
        </w:r>
      </w:hyperlink>
    </w:p>
    <w:p w14:paraId="5692DBCA"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06C885"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E4784FD"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6425124" w14:textId="77777777" w:rsidR="008F7129" w:rsidRPr="00F00D94" w:rsidRDefault="008F7129" w:rsidP="00D631C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4"/>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ility</w:t>
      </w:r>
      <w:r w:rsidRPr="00F00D94">
        <w:rPr>
          <w:rFonts w:ascii="Arial" w:eastAsia="Arial" w:hAnsi="Arial" w:cs="Arial"/>
          <w:spacing w:val="-2"/>
          <w:sz w:val="20"/>
        </w:rPr>
        <w:t xml:space="preserve"> </w:t>
      </w:r>
      <w:r w:rsidRPr="00F00D94">
        <w:rPr>
          <w:rFonts w:ascii="Arial" w:eastAsia="Arial" w:hAnsi="Arial" w:cs="Arial"/>
          <w:spacing w:val="1"/>
          <w:sz w:val="20"/>
        </w:rPr>
        <w:t>de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pacing w:val="-3"/>
          <w:sz w:val="20"/>
        </w:rPr>
        <w:t>i</w:t>
      </w:r>
      <w:r w:rsidRPr="00F00D94">
        <w:rPr>
          <w:rFonts w:ascii="Arial" w:eastAsia="Arial" w:hAnsi="Arial" w:cs="Arial"/>
          <w:spacing w:val="1"/>
          <w:sz w:val="20"/>
        </w:rPr>
        <w:t>na</w:t>
      </w:r>
      <w:r w:rsidRPr="00F00D94">
        <w:rPr>
          <w:rFonts w:ascii="Arial" w:eastAsia="Arial" w:hAnsi="Arial" w:cs="Arial"/>
          <w:sz w:val="20"/>
        </w:rPr>
        <w:t>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cl</w:t>
      </w:r>
      <w:r w:rsidRPr="00F00D94">
        <w:rPr>
          <w:rFonts w:ascii="Arial" w:eastAsia="Arial" w:hAnsi="Arial" w:cs="Arial"/>
          <w:spacing w:val="1"/>
          <w:sz w:val="20"/>
        </w:rPr>
        <w:t>ud</w:t>
      </w:r>
      <w:r w:rsidRPr="00F00D94">
        <w:rPr>
          <w:rFonts w:ascii="Arial" w:eastAsia="Arial" w:hAnsi="Arial" w:cs="Arial"/>
          <w:sz w:val="20"/>
        </w:rPr>
        <w:t>i</w:t>
      </w:r>
      <w:r w:rsidRPr="00F00D94">
        <w:rPr>
          <w:rFonts w:ascii="Arial" w:eastAsia="Arial" w:hAnsi="Arial" w:cs="Arial"/>
          <w:spacing w:val="1"/>
          <w:sz w:val="20"/>
        </w:rPr>
        <w:t>ng ob</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 </w:t>
      </w:r>
      <w:r w:rsidRPr="00F00D94">
        <w:rPr>
          <w:rFonts w:ascii="Arial" w:eastAsia="Arial" w:hAnsi="Arial" w:cs="Arial"/>
          <w:spacing w:val="1"/>
          <w:sz w:val="20"/>
        </w:rPr>
        <w:t>p</w:t>
      </w:r>
      <w:r w:rsidRPr="00F00D94">
        <w:rPr>
          <w:rFonts w:ascii="Arial" w:eastAsia="Arial" w:hAnsi="Arial" w:cs="Arial"/>
          <w:spacing w:val="-3"/>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am 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w:t>
      </w:r>
      <w:r w:rsidRPr="00F00D94">
        <w:rPr>
          <w:rFonts w:ascii="Arial" w:eastAsia="Arial" w:hAnsi="Arial" w:cs="Arial"/>
          <w:spacing w:val="-1"/>
          <w:sz w:val="20"/>
        </w:rPr>
        <w:t>n</w:t>
      </w:r>
      <w:r w:rsidRPr="00F00D94">
        <w:rPr>
          <w:rFonts w:ascii="Arial" w:eastAsia="Arial" w:hAnsi="Arial" w:cs="Arial"/>
          <w:sz w:val="20"/>
        </w:rPr>
        <w:t xml:space="preserve">ts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s</w:t>
      </w:r>
      <w:r w:rsidRPr="00F00D94">
        <w:rPr>
          <w:rFonts w:ascii="Arial" w:eastAsia="Arial" w:hAnsi="Arial" w:cs="Arial"/>
          <w:spacing w:val="-4"/>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cl</w:t>
      </w:r>
      <w:r w:rsidRPr="00F00D94">
        <w:rPr>
          <w:rFonts w:ascii="Arial" w:eastAsia="Arial" w:hAnsi="Arial" w:cs="Arial"/>
          <w:spacing w:val="1"/>
          <w:sz w:val="20"/>
        </w:rPr>
        <w:t>ud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a</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de</w:t>
      </w:r>
      <w:r w:rsidRPr="00F00D94">
        <w:rPr>
          <w:rFonts w:ascii="Arial" w:eastAsia="Arial" w:hAnsi="Arial" w:cs="Arial"/>
          <w:sz w:val="20"/>
        </w:rPr>
        <w:t>liv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y</w:t>
      </w:r>
      <w:r w:rsidRPr="00F00D94">
        <w:rPr>
          <w:rFonts w:ascii="Arial" w:eastAsia="Arial" w:hAnsi="Arial" w:cs="Arial"/>
          <w:sz w:val="20"/>
        </w:rPr>
        <w:t>)</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1"/>
          <w:sz w:val="20"/>
        </w:rPr>
        <w:t>de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w:t>
      </w:r>
      <w:r w:rsidRPr="00F00D94">
        <w:rPr>
          <w:rFonts w:ascii="Arial" w:eastAsia="Arial" w:hAnsi="Arial" w:cs="Arial"/>
          <w:spacing w:val="1"/>
          <w:sz w:val="20"/>
        </w:rPr>
        <w:t>b</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pacing w:val="2"/>
          <w:sz w:val="20"/>
        </w:rPr>
        <w:t>l</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w:t>
      </w:r>
      <w:r w:rsidRPr="00F00D94">
        <w:rPr>
          <w:rFonts w:ascii="Arial" w:eastAsia="Arial" w:hAnsi="Arial" w:cs="Arial"/>
          <w:spacing w:val="1"/>
          <w:sz w:val="20"/>
        </w:rPr>
        <w:t>nd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ls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 i</w:t>
      </w:r>
      <w:r w:rsidRPr="00F00D94">
        <w:rPr>
          <w:rFonts w:ascii="Arial" w:eastAsia="Arial" w:hAnsi="Arial" w:cs="Arial"/>
          <w:spacing w:val="1"/>
          <w:sz w:val="20"/>
        </w:rPr>
        <w:t>nd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ls </w:t>
      </w:r>
      <w:r w:rsidRPr="00F00D94">
        <w:rPr>
          <w:rFonts w:ascii="Arial" w:eastAsia="Arial" w:hAnsi="Arial" w:cs="Arial"/>
          <w:spacing w:val="1"/>
          <w:sz w:val="20"/>
        </w:rPr>
        <w:t>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w:t>
      </w:r>
      <w:r w:rsidRPr="00F00D94">
        <w:rPr>
          <w:rFonts w:ascii="Arial" w:eastAsia="Arial" w:hAnsi="Arial" w:cs="Arial"/>
          <w:spacing w:val="-1"/>
          <w:sz w:val="20"/>
        </w:rPr>
        <w:t>m</w:t>
      </w:r>
      <w:r w:rsidRPr="00F00D94">
        <w:rPr>
          <w:rFonts w:ascii="Arial" w:eastAsia="Arial" w:hAnsi="Arial" w:cs="Arial"/>
          <w:sz w:val="20"/>
        </w:rPr>
        <w:t>.</w:t>
      </w:r>
    </w:p>
    <w:p w14:paraId="68F9790B"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pacing w:val="1"/>
          <w:sz w:val="20"/>
        </w:rPr>
        <w:t>ba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pacing w:val="1"/>
          <w:sz w:val="20"/>
        </w:rPr>
        <w:t>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ub</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ci</w:t>
      </w:r>
      <w:r w:rsidRPr="00F00D94">
        <w:rPr>
          <w:rFonts w:ascii="Arial" w:eastAsia="Arial" w:hAnsi="Arial" w:cs="Arial"/>
          <w:spacing w:val="1"/>
          <w:sz w:val="20"/>
        </w:rPr>
        <w:t>p</w:t>
      </w:r>
      <w:r w:rsidRPr="00F00D94">
        <w:rPr>
          <w:rFonts w:ascii="Arial" w:eastAsia="Arial" w:hAnsi="Arial" w:cs="Arial"/>
          <w:spacing w:val="-3"/>
          <w:sz w:val="20"/>
        </w:rPr>
        <w:t>i</w:t>
      </w:r>
      <w:r w:rsidRPr="00F00D94">
        <w:rPr>
          <w:rFonts w:ascii="Arial" w:eastAsia="Arial" w:hAnsi="Arial" w:cs="Arial"/>
          <w:spacing w:val="1"/>
          <w:sz w:val="20"/>
        </w:rPr>
        <w:t>en</w:t>
      </w:r>
      <w:r w:rsidRPr="00F00D94">
        <w:rPr>
          <w:rFonts w:ascii="Arial" w:eastAsia="Arial" w:hAnsi="Arial" w:cs="Arial"/>
          <w:sz w:val="20"/>
        </w:rPr>
        <w:t>ts.</w:t>
      </w:r>
    </w:p>
    <w:p w14:paraId="77E4A2E2" w14:textId="77777777" w:rsidR="008F7129" w:rsidRPr="00F00D94" w:rsidRDefault="008F7129" w:rsidP="008F7129">
      <w:pPr>
        <w:tabs>
          <w:tab w:val="left" w:pos="720"/>
        </w:tabs>
        <w:spacing w:after="240" w:line="242" w:lineRule="auto"/>
        <w:ind w:left="360" w:right="39" w:hanging="360"/>
        <w:jc w:val="both"/>
        <w:rPr>
          <w:rFonts w:ascii="Arial" w:eastAsia="Arial" w:hAnsi="Arial" w:cs="Arial"/>
          <w:sz w:val="20"/>
        </w:rPr>
      </w:pPr>
      <w:r w:rsidRPr="00F00D94">
        <w:rPr>
          <w:rFonts w:ascii="Arial" w:eastAsia="Arial" w:hAnsi="Arial" w:cs="Arial"/>
          <w:spacing w:val="1"/>
          <w:sz w:val="20"/>
        </w:rPr>
        <w:lastRenderedPageBreak/>
        <w:t>4</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a</w:t>
      </w:r>
      <w:r w:rsidRPr="00F00D94">
        <w:rPr>
          <w:rFonts w:ascii="Arial" w:eastAsia="Arial" w:hAnsi="Arial" w:cs="Arial"/>
          <w:spacing w:val="-1"/>
          <w:sz w:val="20"/>
        </w:rPr>
        <w:t>m</w:t>
      </w:r>
      <w:r w:rsidRPr="00F00D94">
        <w:rPr>
          <w:rFonts w:ascii="Arial" w:eastAsia="Arial" w:hAnsi="Arial" w:cs="Arial"/>
          <w:spacing w:val="1"/>
          <w:sz w:val="20"/>
        </w:rPr>
        <w:t>oun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z w:val="20"/>
        </w:rPr>
        <w:t>o</w:t>
      </w:r>
      <w:r w:rsidRPr="00F00D94">
        <w:rPr>
          <w:rFonts w:ascii="Arial" w:eastAsia="Arial" w:hAnsi="Arial" w:cs="Arial"/>
          <w:spacing w:val="1"/>
          <w:sz w:val="20"/>
        </w:rPr>
        <w:t xml:space="preserve"> o</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be</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pacing w:val="-3"/>
          <w:sz w:val="20"/>
        </w:rPr>
        <w:t>l</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le</w:t>
      </w:r>
      <w:r w:rsidRPr="00F00D94">
        <w:rPr>
          <w:rFonts w:ascii="Arial" w:eastAsia="Arial" w:hAnsi="Arial" w:cs="Arial"/>
          <w:spacing w:val="1"/>
          <w:sz w:val="20"/>
        </w:rPr>
        <w:t xml:space="preserve"> pa</w:t>
      </w:r>
      <w:r w:rsidRPr="00F00D94">
        <w:rPr>
          <w:rFonts w:ascii="Arial" w:eastAsia="Arial" w:hAnsi="Arial" w:cs="Arial"/>
          <w:spacing w:val="-1"/>
          <w:sz w:val="20"/>
        </w:rPr>
        <w:t>r</w:t>
      </w:r>
      <w:r w:rsidRPr="00F00D94">
        <w:rPr>
          <w:rFonts w:ascii="Arial" w:eastAsia="Arial" w:hAnsi="Arial" w:cs="Arial"/>
          <w:sz w:val="20"/>
        </w:rPr>
        <w:t>ti</w:t>
      </w:r>
      <w:r w:rsidRPr="00F00D94">
        <w:rPr>
          <w:rFonts w:ascii="Arial" w:eastAsia="Arial" w:hAnsi="Arial" w:cs="Arial"/>
          <w:spacing w:val="-2"/>
          <w:sz w:val="20"/>
        </w:rPr>
        <w:t>c</w:t>
      </w:r>
      <w:r w:rsidRPr="00F00D94">
        <w:rPr>
          <w:rFonts w:ascii="Arial" w:eastAsia="Arial" w:hAnsi="Arial" w:cs="Arial"/>
          <w:sz w:val="20"/>
        </w:rPr>
        <w:t>i</w:t>
      </w:r>
      <w:r w:rsidRPr="00F00D94">
        <w:rPr>
          <w:rFonts w:ascii="Arial" w:eastAsia="Arial" w:hAnsi="Arial" w:cs="Arial"/>
          <w:spacing w:val="1"/>
          <w:sz w:val="20"/>
        </w:rPr>
        <w:t>pan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 xml:space="preserve">or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c</w:t>
      </w:r>
      <w:r w:rsidRPr="00F00D94">
        <w:rPr>
          <w:rFonts w:ascii="Arial" w:eastAsia="Arial" w:hAnsi="Arial" w:cs="Arial"/>
          <w:spacing w:val="1"/>
          <w:sz w:val="20"/>
        </w:rPr>
        <w:t>a</w:t>
      </w:r>
      <w:r w:rsidRPr="00F00D94">
        <w:rPr>
          <w:rFonts w:ascii="Arial" w:eastAsia="Arial" w:hAnsi="Arial" w:cs="Arial"/>
          <w:sz w:val="20"/>
        </w:rPr>
        <w:t>lc</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z w:val="20"/>
        </w:rPr>
        <w:t>c</w:t>
      </w:r>
      <w:r w:rsidRPr="00F00D94">
        <w:rPr>
          <w:rFonts w:ascii="Arial" w:eastAsia="Arial" w:hAnsi="Arial" w:cs="Arial"/>
          <w:spacing w:val="-2"/>
          <w:sz w:val="20"/>
        </w:rPr>
        <w:t>c</w:t>
      </w:r>
      <w:r w:rsidRPr="00F00D94">
        <w:rPr>
          <w:rFonts w:ascii="Arial" w:eastAsia="Arial" w:hAnsi="Arial" w:cs="Arial"/>
          <w:spacing w:val="1"/>
          <w:sz w:val="20"/>
        </w:rPr>
        <w:t>o</w:t>
      </w:r>
      <w:r w:rsidRPr="00F00D94">
        <w:rPr>
          <w:rFonts w:ascii="Arial" w:eastAsia="Arial" w:hAnsi="Arial" w:cs="Arial"/>
          <w:spacing w:val="-1"/>
          <w:sz w:val="20"/>
        </w:rPr>
        <w:t>r</w:t>
      </w:r>
      <w:r w:rsidRPr="00F00D94">
        <w:rPr>
          <w:rFonts w:ascii="Arial" w:eastAsia="Arial" w:hAnsi="Arial" w:cs="Arial"/>
          <w:spacing w:val="1"/>
          <w:sz w:val="20"/>
        </w:rPr>
        <w:t>dan</w:t>
      </w:r>
      <w:r w:rsidRPr="00F00D94">
        <w:rPr>
          <w:rFonts w:ascii="Arial" w:eastAsia="Arial" w:hAnsi="Arial" w:cs="Arial"/>
          <w:spacing w:val="-2"/>
          <w:sz w:val="20"/>
        </w:rPr>
        <w:t>c</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w:t>
      </w:r>
      <w:r w:rsidRPr="00F00D94">
        <w:rPr>
          <w:rFonts w:ascii="Arial" w:eastAsia="Arial" w:hAnsi="Arial" w:cs="Arial"/>
          <w:sz w:val="20"/>
        </w:rPr>
        <w:t xml:space="preserve">m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w:t>
      </w:r>
      <w:r w:rsidRPr="00F00D94">
        <w:rPr>
          <w:rFonts w:ascii="Arial" w:eastAsia="Arial" w:hAnsi="Arial" w:cs="Arial"/>
          <w:spacing w:val="-2"/>
          <w:sz w:val="20"/>
        </w:rPr>
        <w:t>s</w:t>
      </w:r>
      <w:r w:rsidRPr="00F00D94">
        <w:rPr>
          <w:rFonts w:ascii="Arial" w:eastAsia="Arial" w:hAnsi="Arial" w:cs="Arial"/>
          <w:sz w:val="20"/>
        </w:rPr>
        <w:t>.</w:t>
      </w:r>
    </w:p>
    <w:p w14:paraId="60F78058" w14:textId="5F30D7FA" w:rsidR="00870676" w:rsidRPr="00F00D94"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D96E56" w:rsidRPr="00F00D94" w14:paraId="2F0C61E1" w14:textId="77777777" w:rsidTr="00E0350C">
        <w:tc>
          <w:tcPr>
            <w:tcW w:w="5000" w:type="pct"/>
            <w:shd w:val="clear" w:color="auto" w:fill="548DD4" w:themeFill="text2" w:themeFillTint="99"/>
          </w:tcPr>
          <w:p w14:paraId="120398DF"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297F275A" w14:textId="77777777" w:rsidTr="00E0350C">
        <w:tc>
          <w:tcPr>
            <w:tcW w:w="5000" w:type="pct"/>
          </w:tcPr>
          <w:p w14:paraId="0913B76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4709D66" w14:textId="77777777" w:rsidR="00D96E56" w:rsidRPr="00F00D94" w:rsidRDefault="00D96E56" w:rsidP="006672EA">
            <w:pPr>
              <w:pStyle w:val="AuditProcedureHeading"/>
              <w:spacing w:after="240"/>
              <w:jc w:val="both"/>
              <w:rPr>
                <w:rFonts w:cs="Arial"/>
                <w:b/>
                <w:bCs/>
                <w:szCs w:val="20"/>
                <w:u w:val="single"/>
              </w:rPr>
            </w:pPr>
          </w:p>
          <w:p w14:paraId="7F5332DC"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5D315D6" w14:textId="77777777" w:rsidR="00D96E56" w:rsidRPr="00F00D94" w:rsidRDefault="00D96E56" w:rsidP="006672EA">
            <w:pPr>
              <w:pStyle w:val="AuditProcedureHeading"/>
              <w:spacing w:after="240"/>
              <w:jc w:val="both"/>
              <w:rPr>
                <w:rFonts w:cs="Arial"/>
                <w:b/>
                <w:bCs/>
                <w:szCs w:val="20"/>
                <w:u w:val="single"/>
              </w:rPr>
            </w:pPr>
          </w:p>
          <w:p w14:paraId="7DF98C94"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99301CC" w14:textId="77777777" w:rsidR="00D96E56" w:rsidRPr="00F00D94" w:rsidRDefault="00D96E56" w:rsidP="006672EA">
            <w:pPr>
              <w:spacing w:after="240"/>
              <w:jc w:val="both"/>
              <w:rPr>
                <w:rFonts w:ascii="Arial" w:hAnsi="Arial" w:cs="Arial"/>
                <w:b/>
                <w:sz w:val="20"/>
                <w:u w:val="single"/>
              </w:rPr>
            </w:pPr>
          </w:p>
          <w:p w14:paraId="47B8EF03" w14:textId="77777777"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124CDB20" w14:textId="77777777" w:rsidR="00D96E56" w:rsidRPr="008D4BC3" w:rsidRDefault="00D96E56" w:rsidP="006672EA">
            <w:pPr>
              <w:spacing w:after="240"/>
              <w:jc w:val="both"/>
              <w:rPr>
                <w:rFonts w:ascii="Arial" w:eastAsiaTheme="minorHAnsi" w:hAnsi="Arial" w:cs="Arial"/>
                <w:sz w:val="20"/>
                <w:szCs w:val="20"/>
              </w:rPr>
            </w:pPr>
          </w:p>
        </w:tc>
      </w:tr>
    </w:tbl>
    <w:p w14:paraId="19AC5C13" w14:textId="77777777" w:rsidR="001F0603" w:rsidRPr="00F00D94" w:rsidRDefault="001F060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6A173670" w14:textId="77777777" w:rsidR="000A19FC" w:rsidRPr="00F00D94" w:rsidRDefault="000A19FC" w:rsidP="00F00D94">
      <w:pPr>
        <w:pStyle w:val="Heading3"/>
        <w:rPr>
          <w:rFonts w:cs="Arial"/>
        </w:rPr>
      </w:pPr>
      <w:bookmarkStart w:id="47" w:name="_Toc116458433"/>
      <w:r w:rsidRPr="00F00D94">
        <w:rPr>
          <w:rFonts w:cs="Arial"/>
        </w:rPr>
        <w:t>Suggested Audit Procedures – Compliance</w:t>
      </w:r>
      <w:bookmarkEnd w:id="47"/>
    </w:p>
    <w:tbl>
      <w:tblPr>
        <w:tblStyle w:val="TableGrid"/>
        <w:tblW w:w="5000" w:type="pct"/>
        <w:tblLook w:val="04A0" w:firstRow="1" w:lastRow="0" w:firstColumn="1" w:lastColumn="0" w:noHBand="0" w:noVBand="1"/>
      </w:tblPr>
      <w:tblGrid>
        <w:gridCol w:w="9350"/>
      </w:tblGrid>
      <w:tr w:rsidR="0063267C" w:rsidRPr="00F00D94" w14:paraId="14A12E8C" w14:textId="77777777" w:rsidTr="00E0350C">
        <w:tc>
          <w:tcPr>
            <w:tcW w:w="5000" w:type="pct"/>
            <w:shd w:val="clear" w:color="auto" w:fill="548DD4" w:themeFill="text2" w:themeFillTint="99"/>
          </w:tcPr>
          <w:p w14:paraId="17906671" w14:textId="77777777" w:rsidR="0063267C" w:rsidRPr="00F00D94" w:rsidRDefault="0063267C" w:rsidP="006672EA">
            <w:pPr>
              <w:pStyle w:val="AuditProcedureHeading"/>
              <w:jc w:val="both"/>
              <w:rPr>
                <w:rFonts w:cs="Arial"/>
                <w:sz w:val="28"/>
                <w:szCs w:val="28"/>
              </w:rPr>
            </w:pPr>
            <w:r w:rsidRPr="00F00D94">
              <w:rPr>
                <w:rFonts w:cs="Arial"/>
                <w:b/>
                <w:sz w:val="28"/>
                <w:szCs w:val="28"/>
              </w:rPr>
              <w:t>Suggested Audit Procedures – Compliance (Substantive Tests)</w:t>
            </w:r>
          </w:p>
          <w:p w14:paraId="19B6CB47" w14:textId="77777777" w:rsidR="0063267C" w:rsidRPr="00F00D94" w:rsidRDefault="0063267C"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63267C" w:rsidRPr="00F00D94" w14:paraId="5A2D14A5" w14:textId="77777777" w:rsidTr="00E0350C">
        <w:tc>
          <w:tcPr>
            <w:tcW w:w="5000" w:type="pct"/>
          </w:tcPr>
          <w:p w14:paraId="7D58FE9F"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F00D94" w14:paraId="6C8B61C5" w14:textId="77777777" w:rsidTr="00E0350C">
        <w:tc>
          <w:tcPr>
            <w:tcW w:w="5000" w:type="pct"/>
          </w:tcPr>
          <w:p w14:paraId="0E7DD39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 xml:space="preserve">Eligibility for Individuals </w:t>
            </w:r>
          </w:p>
          <w:p w14:paraId="0C2AEC93"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calculations to assist in determining who is eligible and the amount of benefits</w:t>
            </w:r>
          </w:p>
          <w:p w14:paraId="705D272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Pay benefits (e.g., write checks)</w:t>
            </w:r>
          </w:p>
          <w:p w14:paraId="40B3D451"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4BD38E1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Split Eligibility Determination Functions</w:t>
            </w:r>
          </w:p>
          <w:p w14:paraId="74DF51A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Background</w:t>
            </w:r>
            <w:r w:rsidRPr="00F00D94">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Select a sample of individuals receiving benefits and perform tests to ascertain if </w:t>
            </w:r>
          </w:p>
          <w:p w14:paraId="7F424AD7"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Benefits paid to or on behalf of the individuals were calculated correctly and in compliance with the requirements of the program.</w:t>
            </w:r>
          </w:p>
          <w:p w14:paraId="410B8B50"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Benefits were discontinued when the period of eligibility expired.</w:t>
            </w:r>
          </w:p>
          <w:p w14:paraId="72EC583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 xml:space="preserve">Eligibility for Group of Individuals or Area of Service Delivery </w:t>
            </w:r>
          </w:p>
          <w:p w14:paraId="01AF5CE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In some cases, the non-Federal entity may be required to perform procedures to determine whether a population or area of service delivery is eligible.  Test information used in determining eligibility and ascertain if the population or area of service delivery was eligible.</w:t>
            </w:r>
          </w:p>
          <w:p w14:paraId="3F8CF758"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F00D94">
              <w:rPr>
                <w:rFonts w:ascii="Arial" w:hAnsi="Arial" w:cs="Arial"/>
                <w:sz w:val="20"/>
              </w:rPr>
              <w:t>b.</w:t>
            </w:r>
            <w:r w:rsidRPr="00F00D94">
              <w:rPr>
                <w:rFonts w:ascii="Arial" w:hAnsi="Arial" w:cs="Arial"/>
                <w:sz w:val="20"/>
              </w:rPr>
              <w:tab/>
              <w:t>Perform tests to ascertain if:</w:t>
            </w:r>
          </w:p>
          <w:p w14:paraId="1DF9BF7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720" w:firstLine="720"/>
              <w:jc w:val="both"/>
              <w:rPr>
                <w:rFonts w:ascii="Arial" w:hAnsi="Arial" w:cs="Arial"/>
                <w:sz w:val="20"/>
              </w:rPr>
            </w:pPr>
            <w:r w:rsidRPr="00F00D94">
              <w:rPr>
                <w:rFonts w:ascii="Arial" w:hAnsi="Arial" w:cs="Arial"/>
                <w:sz w:val="20"/>
              </w:rPr>
              <w:t>(1)</w:t>
            </w:r>
            <w:r w:rsidRPr="00F00D94">
              <w:rPr>
                <w:rFonts w:ascii="Arial" w:hAnsi="Arial" w:cs="Arial"/>
                <w:sz w:val="20"/>
              </w:rPr>
              <w:tab/>
              <w:t>The population or area served was eligible.</w:t>
            </w:r>
          </w:p>
          <w:p w14:paraId="11340B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The benefits paid to or on behalf of the individuals or area of service delivery were calculated correctly.</w:t>
            </w:r>
          </w:p>
          <w:p w14:paraId="1499007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3.</w:t>
            </w:r>
            <w:r w:rsidRPr="00F00D94">
              <w:rPr>
                <w:rFonts w:ascii="Arial" w:hAnsi="Arial" w:cs="Arial"/>
                <w:sz w:val="20"/>
              </w:rPr>
              <w:tab/>
            </w:r>
            <w:r w:rsidRPr="00F00D94">
              <w:rPr>
                <w:rFonts w:ascii="Arial" w:hAnsi="Arial" w:cs="Arial"/>
                <w:i/>
                <w:sz w:val="20"/>
              </w:rPr>
              <w:t>Eligibility for Subrecipients</w:t>
            </w:r>
          </w:p>
          <w:p w14:paraId="4CB389A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determination of eligibility is based upon an approved application or plan, obtain a copy of this document and identify the applicable eligibility requirements.</w:t>
            </w:r>
          </w:p>
          <w:p w14:paraId="1EB5B7B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the awards to subrecipients and perform procedures to verify that the subrecipients were eligible and amounts awarded were within funding limits.</w:t>
            </w:r>
          </w:p>
          <w:p w14:paraId="3C56E491" w14:textId="77777777" w:rsidR="0063267C" w:rsidRPr="00F00D94" w:rsidRDefault="0063267C" w:rsidP="006672EA">
            <w:pPr>
              <w:pStyle w:val="APStepItem"/>
              <w:numPr>
                <w:ilvl w:val="0"/>
                <w:numId w:val="0"/>
              </w:numPr>
              <w:tabs>
                <w:tab w:val="num" w:pos="1170"/>
              </w:tabs>
              <w:ind w:left="360"/>
              <w:rPr>
                <w:rFonts w:cs="Arial"/>
                <w:b/>
              </w:rPr>
            </w:pPr>
          </w:p>
        </w:tc>
      </w:tr>
    </w:tbl>
    <w:p w14:paraId="3A32AD4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8533EF" w14:textId="77777777" w:rsidR="005578EC" w:rsidRPr="00F00D94" w:rsidRDefault="005578EC" w:rsidP="006672EA">
      <w:pPr>
        <w:pStyle w:val="Heading3"/>
        <w:jc w:val="both"/>
        <w:rPr>
          <w:rFonts w:cs="Arial"/>
          <w:b w:val="0"/>
          <w:szCs w:val="24"/>
        </w:rPr>
      </w:pPr>
      <w:bookmarkStart w:id="48" w:name="_Toc116458434"/>
      <w:r w:rsidRPr="00F00D94">
        <w:rPr>
          <w:rFonts w:cs="Arial"/>
        </w:rPr>
        <w:lastRenderedPageBreak/>
        <w:t>Audit Implications Summary</w:t>
      </w:r>
      <w:bookmarkEnd w:id="48"/>
    </w:p>
    <w:tbl>
      <w:tblPr>
        <w:tblStyle w:val="TableGrid"/>
        <w:tblW w:w="5000" w:type="pct"/>
        <w:tblLook w:val="04A0" w:firstRow="1" w:lastRow="0" w:firstColumn="1" w:lastColumn="0" w:noHBand="0" w:noVBand="1"/>
      </w:tblPr>
      <w:tblGrid>
        <w:gridCol w:w="9350"/>
      </w:tblGrid>
      <w:tr w:rsidR="005578EC" w:rsidRPr="00F00D94" w14:paraId="54F121A1" w14:textId="77777777" w:rsidTr="00E0350C">
        <w:tc>
          <w:tcPr>
            <w:tcW w:w="5000" w:type="pct"/>
            <w:shd w:val="clear" w:color="auto" w:fill="548DD4" w:themeFill="text2" w:themeFillTint="99"/>
          </w:tcPr>
          <w:p w14:paraId="33260741"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4C2B3BE7" w14:textId="77777777" w:rsidTr="00E0350C">
        <w:tc>
          <w:tcPr>
            <w:tcW w:w="5000" w:type="pct"/>
          </w:tcPr>
          <w:p w14:paraId="41A3EF3C" w14:textId="77777777" w:rsidR="005578EC" w:rsidRPr="00F00D94" w:rsidRDefault="005578EC" w:rsidP="00437268">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491DB128" w14:textId="77777777" w:rsidR="005578EC" w:rsidRPr="00F00D94" w:rsidRDefault="005578EC" w:rsidP="006672EA">
            <w:pPr>
              <w:widowControl w:val="0"/>
              <w:spacing w:after="240"/>
              <w:ind w:left="720"/>
              <w:jc w:val="both"/>
              <w:rPr>
                <w:rFonts w:ascii="Arial" w:hAnsi="Arial" w:cs="Arial"/>
                <w:b/>
                <w:sz w:val="20"/>
              </w:rPr>
            </w:pPr>
          </w:p>
          <w:p w14:paraId="132215A3" w14:textId="77777777" w:rsidR="005578EC" w:rsidRPr="00F00D94" w:rsidRDefault="005578EC" w:rsidP="00437268">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Assessment of Control Risk:</w:t>
            </w:r>
          </w:p>
          <w:p w14:paraId="1DA4DA58" w14:textId="77777777" w:rsidR="005578EC" w:rsidRPr="00F00D94" w:rsidRDefault="005578EC" w:rsidP="006672EA">
            <w:pPr>
              <w:pStyle w:val="ListParagraph"/>
              <w:spacing w:after="240"/>
              <w:jc w:val="both"/>
              <w:rPr>
                <w:rFonts w:ascii="Arial" w:hAnsi="Arial" w:cs="Arial"/>
                <w:b/>
              </w:rPr>
            </w:pPr>
          </w:p>
          <w:p w14:paraId="58592A6C" w14:textId="77777777" w:rsidR="005578EC" w:rsidRPr="00F00D94" w:rsidRDefault="005578EC" w:rsidP="00437268">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FBD63DF" w14:textId="77777777" w:rsidR="005578EC" w:rsidRPr="00F00D94" w:rsidRDefault="005578EC" w:rsidP="006672EA">
            <w:pPr>
              <w:pStyle w:val="ListParagraph"/>
              <w:spacing w:after="240"/>
              <w:jc w:val="both"/>
              <w:rPr>
                <w:rFonts w:ascii="Arial" w:hAnsi="Arial" w:cs="Arial"/>
                <w:b/>
              </w:rPr>
            </w:pPr>
          </w:p>
          <w:p w14:paraId="4FAD5EC4" w14:textId="77777777" w:rsidR="005578EC" w:rsidRPr="00F00D94" w:rsidRDefault="005578EC" w:rsidP="00437268">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196FAD" w14:textId="77777777" w:rsidR="005578EC" w:rsidRPr="00F00D94" w:rsidRDefault="005578EC" w:rsidP="006672EA">
            <w:pPr>
              <w:pStyle w:val="ListParagraph"/>
              <w:spacing w:after="240"/>
              <w:jc w:val="both"/>
              <w:rPr>
                <w:rFonts w:ascii="Arial" w:hAnsi="Arial" w:cs="Arial"/>
                <w:b/>
              </w:rPr>
            </w:pPr>
          </w:p>
          <w:p w14:paraId="6FDE1DF4" w14:textId="77777777" w:rsidR="005578EC" w:rsidRPr="00F00D94" w:rsidRDefault="005578EC" w:rsidP="00437268">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301F3D" w14:textId="77777777" w:rsidR="005578EC" w:rsidRPr="00F00D94" w:rsidRDefault="005578EC" w:rsidP="006672EA">
            <w:pPr>
              <w:pStyle w:val="APStepItem"/>
              <w:numPr>
                <w:ilvl w:val="0"/>
                <w:numId w:val="0"/>
              </w:numPr>
              <w:spacing w:after="240"/>
              <w:rPr>
                <w:rFonts w:cs="Arial"/>
                <w:b/>
                <w:szCs w:val="20"/>
              </w:rPr>
            </w:pPr>
          </w:p>
        </w:tc>
      </w:tr>
    </w:tbl>
    <w:p w14:paraId="31A5F778"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83"/>
          <w:pgSz w:w="12240" w:h="15840" w:code="1"/>
          <w:pgMar w:top="1440" w:right="1440" w:bottom="1440" w:left="1440" w:header="720" w:footer="720" w:gutter="0"/>
          <w:cols w:space="720"/>
          <w:noEndnote/>
        </w:sectPr>
      </w:pPr>
    </w:p>
    <w:p w14:paraId="46891ABB" w14:textId="77777777" w:rsidR="007E5B12" w:rsidRPr="00F00D94" w:rsidRDefault="007E5B12" w:rsidP="006672EA">
      <w:pPr>
        <w:pStyle w:val="Heading2"/>
        <w:jc w:val="both"/>
        <w:rPr>
          <w:rFonts w:cs="Arial"/>
        </w:rPr>
      </w:pPr>
      <w:bookmarkStart w:id="49" w:name="_Toc442267698"/>
      <w:bookmarkStart w:id="50" w:name="_Toc116458435"/>
      <w:r w:rsidRPr="00F00D94">
        <w:rPr>
          <w:rFonts w:cs="Arial"/>
        </w:rPr>
        <w:lastRenderedPageBreak/>
        <w:t xml:space="preserve">H.  PERIOD </w:t>
      </w:r>
      <w:r w:rsidR="00F12052" w:rsidRPr="00F00D94">
        <w:rPr>
          <w:rFonts w:cs="Arial"/>
        </w:rPr>
        <w:t>OF PERFORMANCE</w:t>
      </w:r>
      <w:bookmarkEnd w:id="49"/>
      <w:bookmarkEnd w:id="50"/>
    </w:p>
    <w:p w14:paraId="14D3439D" w14:textId="5DFD8ACC"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84"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FDC7A2D" w14:textId="62C2A2DA" w:rsidR="001231A7" w:rsidRPr="00F00D94" w:rsidRDefault="001231A7"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85"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07D5A30C" w14:textId="635B47C0" w:rsidR="007E5B12" w:rsidRPr="00F00D94" w:rsidRDefault="004655E0" w:rsidP="006672EA">
      <w:pPr>
        <w:pStyle w:val="Heading3"/>
        <w:jc w:val="both"/>
        <w:rPr>
          <w:rFonts w:cs="Arial"/>
        </w:rPr>
      </w:pPr>
      <w:bookmarkStart w:id="51" w:name="_Toc116458436"/>
      <w:r w:rsidRPr="00F00D94">
        <w:rPr>
          <w:rFonts w:cs="Arial"/>
        </w:rPr>
        <w:t xml:space="preserve">OMB </w:t>
      </w:r>
      <w:r w:rsidR="007E5B12" w:rsidRPr="00F00D94">
        <w:rPr>
          <w:rFonts w:cs="Arial"/>
        </w:rPr>
        <w:t>Compliance Requirements</w:t>
      </w:r>
      <w:bookmarkEnd w:id="51"/>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 non-Federal entity may charge only allowable costs incurred during the </w:t>
      </w:r>
      <w:r w:rsidR="00D90FD6" w:rsidRPr="00F00D94">
        <w:rPr>
          <w:rFonts w:ascii="Arial" w:hAnsi="Arial" w:cs="Arial"/>
          <w:sz w:val="20"/>
        </w:rPr>
        <w:t xml:space="preserve">approved budget period of a federal award’s </w:t>
      </w:r>
      <w:r w:rsidRPr="00F00D94">
        <w:rPr>
          <w:rFonts w:ascii="Arial" w:hAnsi="Arial" w:cs="Arial"/>
          <w:sz w:val="20"/>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sz w:val="20"/>
        </w:rPr>
        <w:t xml:space="preserve">sections </w:t>
      </w:r>
      <w:r w:rsidR="00073281" w:rsidRPr="00F00D94">
        <w:rPr>
          <w:rFonts w:ascii="Arial" w:hAnsi="Arial" w:cs="Arial"/>
          <w:sz w:val="20"/>
        </w:rPr>
        <w:t xml:space="preserve">2 CFR </w:t>
      </w:r>
      <w:r w:rsidR="008C1C80" w:rsidRPr="00F00D94">
        <w:rPr>
          <w:rFonts w:ascii="Arial" w:hAnsi="Arial" w:cs="Arial"/>
          <w:sz w:val="20"/>
        </w:rPr>
        <w:t>200.308</w:t>
      </w:r>
      <w:r w:rsidR="00D90FD6" w:rsidRPr="00F00D94">
        <w:rPr>
          <w:rFonts w:ascii="Arial" w:hAnsi="Arial" w:cs="Arial"/>
          <w:sz w:val="20"/>
        </w:rPr>
        <w:t>,</w:t>
      </w:r>
      <w:r w:rsidR="00D90FD6" w:rsidRPr="00F00D94">
        <w:rPr>
          <w:rFonts w:ascii="Arial" w:hAnsi="Arial" w:cs="Arial"/>
        </w:rPr>
        <w:t xml:space="preserve"> </w:t>
      </w:r>
      <w:r w:rsidR="008C1C80" w:rsidRPr="00F00D94">
        <w:rPr>
          <w:rFonts w:ascii="Arial" w:hAnsi="Arial" w:cs="Arial"/>
          <w:sz w:val="20"/>
        </w:rPr>
        <w:t>200.309</w:t>
      </w:r>
      <w:r w:rsidR="00073281" w:rsidRPr="00F00D94">
        <w:rPr>
          <w:rFonts w:ascii="Arial" w:hAnsi="Arial" w:cs="Arial"/>
          <w:sz w:val="20"/>
        </w:rPr>
        <w:t xml:space="preserve">, and </w:t>
      </w:r>
      <w:r w:rsidR="008C1C80" w:rsidRPr="00F00D94">
        <w:rPr>
          <w:rFonts w:ascii="Arial" w:hAnsi="Arial" w:cs="Arial"/>
          <w:sz w:val="20"/>
        </w:rPr>
        <w:t>200.403</w:t>
      </w:r>
      <w:r w:rsidR="00073281" w:rsidRPr="00F00D94">
        <w:rPr>
          <w:rFonts w:ascii="Arial" w:hAnsi="Arial" w:cs="Arial"/>
          <w:sz w:val="20"/>
        </w:rPr>
        <w:t xml:space="preserve">(h). A period of performance may contain one or more budget periods. </w:t>
      </w:r>
    </w:p>
    <w:p w14:paraId="150B4E26" w14:textId="4E533BE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the Federal awarding agency or pass-through entity authorizes an extension, a non-Federal entity must liquidate all </w:t>
      </w:r>
      <w:r w:rsidR="00073281" w:rsidRPr="00F00D94">
        <w:rPr>
          <w:rFonts w:ascii="Arial" w:hAnsi="Arial" w:cs="Arial"/>
          <w:sz w:val="20"/>
        </w:rPr>
        <w:t xml:space="preserve">financial </w:t>
      </w:r>
      <w:r w:rsidRPr="00F00D94">
        <w:rPr>
          <w:rFonts w:ascii="Arial" w:hAnsi="Arial" w:cs="Arial"/>
          <w:sz w:val="20"/>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sz w:val="20"/>
        </w:rPr>
        <w:t>2 CFR 200.344(b)</w:t>
      </w:r>
      <w:r w:rsidRPr="00F00D94">
        <w:rPr>
          <w:rFonts w:ascii="Arial" w:hAnsi="Arial" w:cs="Arial"/>
          <w:sz w:val="20"/>
        </w:rPr>
        <w:t>).  When used in connection with a non-Federal entity’s utilization of funds under a Federal award, “</w:t>
      </w:r>
      <w:r w:rsidR="00073281" w:rsidRPr="00F00D94">
        <w:rPr>
          <w:rFonts w:ascii="Arial" w:hAnsi="Arial" w:cs="Arial"/>
          <w:sz w:val="20"/>
        </w:rPr>
        <w:t xml:space="preserve">financial </w:t>
      </w:r>
      <w:r w:rsidRPr="00F00D94">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sz w:val="20"/>
        </w:rPr>
        <w:t>2 CFR 200.1_Obligations</w:t>
      </w:r>
      <w:r w:rsidRPr="00F00D94">
        <w:rPr>
          <w:rFonts w:ascii="Arial" w:hAnsi="Arial" w:cs="Arial"/>
          <w:sz w:val="20"/>
        </w:rPr>
        <w:t>).</w:t>
      </w:r>
    </w:p>
    <w:p w14:paraId="0D59C9B0" w14:textId="1FC83313" w:rsidR="00073281"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3C20ABFE" w14:textId="43D18065"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the period of performance are contained in </w:t>
      </w:r>
      <w:r w:rsidR="008C1C80" w:rsidRPr="00F00D94">
        <w:rPr>
          <w:rFonts w:ascii="Arial" w:hAnsi="Arial" w:cs="Arial"/>
          <w:sz w:val="20"/>
        </w:rPr>
        <w:t>2 CFR 200.1</w:t>
      </w:r>
      <w:r w:rsidRPr="00F00D94">
        <w:rPr>
          <w:rFonts w:ascii="Arial" w:hAnsi="Arial" w:cs="Arial"/>
          <w:sz w:val="20"/>
        </w:rPr>
        <w:t xml:space="preserve"> </w:t>
      </w:r>
      <w:r w:rsidR="008C1C80" w:rsidRPr="00F00D94">
        <w:rPr>
          <w:rFonts w:ascii="Arial" w:hAnsi="Arial" w:cs="Arial"/>
          <w:sz w:val="20"/>
        </w:rPr>
        <w:t>d</w:t>
      </w:r>
      <w:r w:rsidR="009C2A3E" w:rsidRPr="00F00D94">
        <w:rPr>
          <w:rFonts w:ascii="Arial" w:hAnsi="Arial" w:cs="Arial"/>
          <w:sz w:val="20"/>
        </w:rPr>
        <w:t xml:space="preserve">efinitions for “budget period,” “financial obligations,” </w:t>
      </w:r>
      <w:r w:rsidRPr="00F00D94">
        <w:rPr>
          <w:rFonts w:ascii="Arial" w:hAnsi="Arial" w:cs="Arial"/>
          <w:sz w:val="20"/>
        </w:rPr>
        <w:t xml:space="preserve">“period of performance”, </w:t>
      </w:r>
      <w:r w:rsidR="008C1C80" w:rsidRPr="00F00D94">
        <w:rPr>
          <w:rFonts w:ascii="Arial" w:hAnsi="Arial" w:cs="Arial"/>
          <w:sz w:val="20"/>
        </w:rPr>
        <w:t>2 CFR 200.308</w:t>
      </w:r>
      <w:r w:rsidR="009C2A3E" w:rsidRPr="00F00D94">
        <w:rPr>
          <w:rFonts w:ascii="Arial" w:hAnsi="Arial" w:cs="Arial"/>
          <w:sz w:val="20"/>
        </w:rPr>
        <w:t xml:space="preserve"> Revisions of budget and program plans, </w:t>
      </w:r>
      <w:r w:rsidR="008C1C80" w:rsidRPr="00F00D94">
        <w:rPr>
          <w:rFonts w:ascii="Arial" w:hAnsi="Arial" w:cs="Arial"/>
          <w:sz w:val="20"/>
        </w:rPr>
        <w:t>2 CFR 200.309</w:t>
      </w:r>
      <w:r w:rsidRPr="00F00D94">
        <w:rPr>
          <w:rFonts w:ascii="Arial" w:hAnsi="Arial" w:cs="Arial"/>
          <w:sz w:val="20"/>
        </w:rPr>
        <w:t xml:space="preserve"> </w:t>
      </w:r>
      <w:r w:rsidR="009C2A3E" w:rsidRPr="00F00D94">
        <w:rPr>
          <w:rFonts w:ascii="Arial" w:hAnsi="Arial" w:cs="Arial"/>
          <w:sz w:val="20"/>
        </w:rPr>
        <w:t xml:space="preserve">Modifications to </w:t>
      </w:r>
      <w:r w:rsidRPr="00F00D94">
        <w:rPr>
          <w:rFonts w:ascii="Arial" w:hAnsi="Arial" w:cs="Arial"/>
          <w:sz w:val="20"/>
        </w:rPr>
        <w:t xml:space="preserve">period of performance, </w:t>
      </w:r>
      <w:r w:rsidR="008C1C80" w:rsidRPr="00F00D94">
        <w:rPr>
          <w:rFonts w:ascii="Arial" w:hAnsi="Arial" w:cs="Arial"/>
          <w:sz w:val="20"/>
        </w:rPr>
        <w:t>2 CFR 200.344</w:t>
      </w:r>
      <w:r w:rsidRPr="00F00D94">
        <w:rPr>
          <w:rFonts w:ascii="Arial" w:hAnsi="Arial" w:cs="Arial"/>
          <w:sz w:val="20"/>
        </w:rPr>
        <w:t xml:space="preserve"> (closeout), program</w:t>
      </w:r>
      <w:r w:rsidR="001A2A06" w:rsidRPr="00F00D94">
        <w:rPr>
          <w:rFonts w:ascii="Arial" w:hAnsi="Arial" w:cs="Arial"/>
          <w:sz w:val="20"/>
        </w:rPr>
        <w:t xml:space="preserve"> legislation</w:t>
      </w:r>
      <w:r w:rsidRPr="00F00D94">
        <w:rPr>
          <w:rFonts w:ascii="Arial" w:hAnsi="Arial" w:cs="Arial"/>
          <w:sz w:val="20"/>
        </w:rPr>
        <w:t>, Federal awarding agency regulations; and the terms and conditions of the award.</w:t>
      </w:r>
    </w:p>
    <w:p w14:paraId="4C730777" w14:textId="57376AFF" w:rsidR="00AA3456"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36F1F" w:rsidRPr="00F00D94">
        <w:rPr>
          <w:rFonts w:ascii="Arial" w:hAnsi="Arial" w:cs="Arial"/>
          <w:i/>
          <w:sz w:val="20"/>
        </w:rPr>
        <w:t>202</w:t>
      </w:r>
      <w:r w:rsidR="008A5757" w:rsidRPr="00F00D94">
        <w:rPr>
          <w:rFonts w:ascii="Arial" w:hAnsi="Arial" w:cs="Arial"/>
          <w:i/>
          <w:sz w:val="20"/>
        </w:rPr>
        <w:t>2</w:t>
      </w:r>
      <w:r w:rsidR="00236F1F"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36F1F" w:rsidRPr="00F00D94">
        <w:rPr>
          <w:rFonts w:ascii="Arial" w:hAnsi="Arial" w:cs="Arial"/>
          <w:i/>
          <w:sz w:val="20"/>
        </w:rPr>
        <w:t xml:space="preserve">Part </w:t>
      </w:r>
      <w:r w:rsidRPr="00F00D94">
        <w:rPr>
          <w:rFonts w:ascii="Arial" w:hAnsi="Arial" w:cs="Arial"/>
          <w:i/>
          <w:sz w:val="20"/>
        </w:rPr>
        <w:t>3)</w:t>
      </w:r>
    </w:p>
    <w:p w14:paraId="73F2320D" w14:textId="77777777" w:rsidR="00D7245B" w:rsidRPr="00F00D94" w:rsidRDefault="00D7245B" w:rsidP="006672EA">
      <w:pPr>
        <w:spacing w:after="240"/>
        <w:jc w:val="both"/>
        <w:rPr>
          <w:rFonts w:ascii="Arial" w:hAnsi="Arial" w:cs="Arial"/>
          <w:b/>
          <w:szCs w:val="24"/>
        </w:rPr>
      </w:pPr>
      <w:r w:rsidRPr="00F00D94">
        <w:rPr>
          <w:rFonts w:ascii="Arial" w:hAnsi="Arial" w:cs="Arial"/>
          <w:b/>
          <w:szCs w:val="24"/>
        </w:rPr>
        <w:t>Agency Codification Adjustments/Exceptions:</w:t>
      </w:r>
    </w:p>
    <w:p w14:paraId="191D57D8" w14:textId="3E5441EB"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86"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87"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2B39C821" w14:textId="7BDA974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31D4B998" w14:textId="77777777" w:rsidR="008C309D" w:rsidRPr="008C309D" w:rsidRDefault="008C309D" w:rsidP="008C309D">
      <w:pPr>
        <w:pStyle w:val="BodyText"/>
        <w:jc w:val="both"/>
        <w:rPr>
          <w:rFonts w:ascii="Arial" w:hAnsi="Arial" w:cs="Arial"/>
          <w:sz w:val="20"/>
          <w:szCs w:val="20"/>
        </w:rPr>
      </w:pPr>
      <w:r w:rsidRPr="008C309D">
        <w:rPr>
          <w:rFonts w:ascii="Arial" w:hAnsi="Arial" w:cs="Arial"/>
          <w:color w:val="231F20"/>
          <w:sz w:val="20"/>
          <w:szCs w:val="20"/>
        </w:rPr>
        <w:t>Under Section 501(e)(1) of the Consolidated Appropriations Act, 2021, the period of performance for ERA 1 awards began on the date that the grantee executed the ERA 1 Award Terms and ended on December 31, 2021. Section 3201(h) of ARPA extended the award period of performance from December 31, 2021 to September 30, 2022. Pursuant to Section 501(e)(2) of the Consolidated Appropriations Act, 2021, Treasury extended the award period of performance to end on December 29, 2022 for ERA 1 grantees that receive reallocated funds.</w:t>
      </w:r>
    </w:p>
    <w:p w14:paraId="72D76242" w14:textId="1C2C43AF" w:rsidR="008C309D" w:rsidRDefault="008C309D" w:rsidP="008C309D">
      <w:pPr>
        <w:pStyle w:val="BodyText"/>
        <w:jc w:val="both"/>
        <w:rPr>
          <w:rFonts w:ascii="Arial" w:hAnsi="Arial" w:cs="Arial"/>
          <w:color w:val="231F20"/>
          <w:sz w:val="20"/>
          <w:szCs w:val="20"/>
        </w:rPr>
      </w:pPr>
      <w:r w:rsidRPr="008C309D">
        <w:rPr>
          <w:rFonts w:ascii="Arial" w:hAnsi="Arial" w:cs="Arial"/>
          <w:color w:val="231F20"/>
          <w:sz w:val="20"/>
          <w:szCs w:val="20"/>
        </w:rPr>
        <w:lastRenderedPageBreak/>
        <w:t>Under section 3201(g) of ARPA, the period of performance for ERA 2 awards begins on the date that Treasury and the grantee executed the ERA 2 Award Terms and ends on September 30, 2025. All award funds not obligated or expended by the end of the period of performance date for ERA 1 and ERA 2 awards must be returned to Treasury as part of the award closeout process pursuant to 2 CFR 200.344(d), including amounts distributed through redirection and reallocation.</w:t>
      </w:r>
    </w:p>
    <w:p w14:paraId="692D58F4" w14:textId="4171AF09" w:rsidR="008C309D" w:rsidRPr="008C309D" w:rsidRDefault="008C309D" w:rsidP="00950585">
      <w:pPr>
        <w:spacing w:after="240"/>
        <w:jc w:val="both"/>
      </w:pPr>
      <w:r w:rsidRPr="00BC7F42">
        <w:rPr>
          <w:rFonts w:ascii="Arial" w:hAnsi="Arial" w:cs="Arial"/>
          <w:bCs/>
          <w:i/>
          <w:sz w:val="20"/>
        </w:rPr>
        <w:t xml:space="preserve">(Source: </w:t>
      </w:r>
      <w:r>
        <w:rPr>
          <w:rFonts w:ascii="Arial" w:hAnsi="Arial" w:cs="Arial"/>
          <w:bCs/>
          <w:i/>
          <w:sz w:val="20"/>
        </w:rPr>
        <w:t>2022 OMB Compliance Supplement, Part 4, Treasury, Emergency Rental Assistance Program)</w:t>
      </w:r>
    </w:p>
    <w:p w14:paraId="620B48E1" w14:textId="77777777" w:rsidR="00FC7102" w:rsidRPr="00F00D94" w:rsidRDefault="00FC7102" w:rsidP="006672EA">
      <w:pPr>
        <w:pStyle w:val="Heading3"/>
        <w:jc w:val="both"/>
        <w:rPr>
          <w:rFonts w:cs="Arial"/>
        </w:rPr>
      </w:pPr>
      <w:bookmarkStart w:id="52" w:name="_Toc116458437"/>
      <w:r w:rsidRPr="00F00D94">
        <w:rPr>
          <w:rFonts w:cs="Arial"/>
        </w:rPr>
        <w:t>Additional Program Specific Information</w:t>
      </w:r>
      <w:bookmarkEnd w:id="52"/>
    </w:p>
    <w:p w14:paraId="70937B04" w14:textId="73FF4081"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Period of Performance or Federal Funds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7A569597" w14:textId="77777777" w:rsidR="00C30DAB" w:rsidRPr="00F00D94" w:rsidRDefault="00205793" w:rsidP="006672EA">
      <w:pPr>
        <w:pStyle w:val="Heading3"/>
        <w:jc w:val="both"/>
        <w:rPr>
          <w:rFonts w:cs="Arial"/>
          <w:bCs/>
        </w:rPr>
      </w:pPr>
      <w:bookmarkStart w:id="53" w:name="_Toc116458438"/>
      <w:r w:rsidRPr="00F00D94">
        <w:rPr>
          <w:rFonts w:cs="Arial"/>
        </w:rPr>
        <w:t xml:space="preserve">Audit Objectives </w:t>
      </w:r>
      <w:r w:rsidR="00C30DAB" w:rsidRPr="00F00D94">
        <w:rPr>
          <w:rFonts w:cs="Arial"/>
        </w:rPr>
        <w:t>and Control Testing</w:t>
      </w:r>
      <w:bookmarkEnd w:id="53"/>
    </w:p>
    <w:p w14:paraId="5CB57338" w14:textId="5D5A47B5"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812221B" w14:textId="225A97EA" w:rsidR="008F7129" w:rsidRPr="00F00D94" w:rsidRDefault="00B013E4" w:rsidP="00437268">
      <w:pPr>
        <w:pStyle w:val="BodyText"/>
        <w:widowControl w:val="0"/>
        <w:numPr>
          <w:ilvl w:val="0"/>
          <w:numId w:val="36"/>
        </w:numPr>
        <w:autoSpaceDE w:val="0"/>
        <w:autoSpaceDN w:val="0"/>
        <w:spacing w:after="0"/>
        <w:rPr>
          <w:rFonts w:ascii="Arial" w:hAnsi="Arial" w:cs="Arial"/>
          <w:sz w:val="20"/>
          <w:szCs w:val="20"/>
        </w:rPr>
      </w:pPr>
      <w:hyperlink r:id="rId88"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2AB33BD4" w14:textId="0882BA03" w:rsidR="008F7129" w:rsidRPr="00F00D94" w:rsidRDefault="00B013E4" w:rsidP="00437268">
      <w:pPr>
        <w:pStyle w:val="BodyText"/>
        <w:widowControl w:val="0"/>
        <w:numPr>
          <w:ilvl w:val="0"/>
          <w:numId w:val="36"/>
        </w:numPr>
        <w:autoSpaceDE w:val="0"/>
        <w:autoSpaceDN w:val="0"/>
        <w:spacing w:after="0"/>
        <w:rPr>
          <w:rFonts w:ascii="Arial" w:hAnsi="Arial" w:cs="Arial"/>
          <w:sz w:val="20"/>
          <w:szCs w:val="20"/>
        </w:rPr>
      </w:pPr>
      <w:hyperlink r:id="rId89" w:history="1">
        <w:r w:rsidR="008F7129" w:rsidRPr="00F00D94">
          <w:rPr>
            <w:rStyle w:val="Hyperlink"/>
            <w:rFonts w:ascii="Arial" w:hAnsi="Arial" w:cs="Arial"/>
            <w:sz w:val="20"/>
            <w:szCs w:val="20"/>
          </w:rPr>
          <w:t>2013 COSO</w:t>
        </w:r>
      </w:hyperlink>
    </w:p>
    <w:p w14:paraId="390AFB93" w14:textId="1A26BBF1" w:rsidR="008F7129" w:rsidRPr="00F00D94" w:rsidRDefault="00B013E4" w:rsidP="00437268">
      <w:pPr>
        <w:pStyle w:val="BodyText"/>
        <w:widowControl w:val="0"/>
        <w:numPr>
          <w:ilvl w:val="0"/>
          <w:numId w:val="36"/>
        </w:numPr>
        <w:autoSpaceDE w:val="0"/>
        <w:autoSpaceDN w:val="0"/>
        <w:rPr>
          <w:rStyle w:val="Hyperlink"/>
          <w:rFonts w:ascii="Arial" w:hAnsi="Arial" w:cs="Arial"/>
          <w:color w:val="auto"/>
          <w:sz w:val="20"/>
          <w:szCs w:val="20"/>
          <w:u w:val="none"/>
        </w:rPr>
      </w:pPr>
      <w:hyperlink r:id="rId90" w:history="1">
        <w:r w:rsidR="008F7129" w:rsidRPr="00F00D94">
          <w:rPr>
            <w:rStyle w:val="Hyperlink"/>
            <w:rFonts w:ascii="Arial" w:hAnsi="Arial" w:cs="Arial"/>
            <w:sz w:val="20"/>
            <w:szCs w:val="20"/>
          </w:rPr>
          <w:t>GAO’s 2014 Green Book</w:t>
        </w:r>
      </w:hyperlink>
    </w:p>
    <w:p w14:paraId="7561FBC8"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B052F80"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0FC277B"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16A15AD" w14:textId="326E741C" w:rsidR="008F7129" w:rsidRPr="00F00D94" w:rsidRDefault="008F7129" w:rsidP="008F7129">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ha</w:t>
      </w:r>
      <w:r w:rsidRPr="00F00D94">
        <w:rPr>
          <w:rFonts w:ascii="Arial" w:eastAsia="Arial" w:hAnsi="Arial" w:cs="Arial"/>
          <w:spacing w:val="-1"/>
          <w:sz w:val="20"/>
        </w:rPr>
        <w:t>rg</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66"/>
          <w:sz w:val="20"/>
        </w:rPr>
        <w:t xml:space="preserve"> </w:t>
      </w:r>
      <w:r w:rsidRPr="00F00D94">
        <w:rPr>
          <w:rFonts w:ascii="Arial" w:eastAsia="Arial" w:hAnsi="Arial" w:cs="Arial"/>
          <w:spacing w:val="-1"/>
          <w:sz w:val="20"/>
        </w:rPr>
        <w:t>(</w:t>
      </w:r>
      <w:r w:rsidRPr="00F00D94">
        <w:rPr>
          <w:rFonts w:ascii="Arial" w:eastAsia="Arial" w:hAnsi="Arial" w:cs="Arial"/>
          <w:spacing w:val="1"/>
          <w:sz w:val="20"/>
        </w:rPr>
        <w:t>a</w:t>
      </w:r>
      <w:r w:rsidRPr="00F00D94">
        <w:rPr>
          <w:rFonts w:ascii="Arial" w:eastAsia="Arial" w:hAnsi="Arial" w:cs="Arial"/>
          <w:sz w:val="20"/>
        </w:rPr>
        <w:t xml:space="preserve">) </w:t>
      </w:r>
      <w:r w:rsidRPr="00F00D94">
        <w:rPr>
          <w:rFonts w:ascii="Arial" w:eastAsia="Arial" w:hAnsi="Arial" w:cs="Arial"/>
          <w:spacing w:val="1"/>
          <w:sz w:val="20"/>
        </w:rPr>
        <w:t>a</w:t>
      </w:r>
      <w:r w:rsidRPr="00F00D94">
        <w:rPr>
          <w:rFonts w:ascii="Arial" w:eastAsia="Arial" w:hAnsi="Arial" w:cs="Arial"/>
          <w:sz w:val="20"/>
        </w:rPr>
        <w:t>ll</w:t>
      </w:r>
      <w:r w:rsidRPr="00F00D94">
        <w:rPr>
          <w:rFonts w:ascii="Arial" w:eastAsia="Arial" w:hAnsi="Arial" w:cs="Arial"/>
          <w:spacing w:val="1"/>
          <w:sz w:val="20"/>
        </w:rPr>
        <w:t>o</w:t>
      </w:r>
      <w:r w:rsidRPr="00F00D94">
        <w:rPr>
          <w:rFonts w:ascii="Arial" w:eastAsia="Arial" w:hAnsi="Arial" w:cs="Arial"/>
          <w:spacing w:val="-3"/>
          <w:sz w:val="20"/>
        </w:rPr>
        <w:t>w</w:t>
      </w:r>
      <w:r w:rsidRPr="00F00D94">
        <w:rPr>
          <w:rFonts w:ascii="Arial" w:eastAsia="Arial" w:hAnsi="Arial" w:cs="Arial"/>
          <w:spacing w:val="1"/>
          <w:sz w:val="20"/>
        </w:rPr>
        <w:t>ab</w:t>
      </w:r>
      <w:r w:rsidRPr="00F00D94">
        <w:rPr>
          <w:rFonts w:ascii="Arial" w:eastAsia="Arial" w:hAnsi="Arial" w:cs="Arial"/>
          <w:sz w:val="20"/>
        </w:rPr>
        <w:t>le c</w:t>
      </w:r>
      <w:r w:rsidRPr="00F00D94">
        <w:rPr>
          <w:rFonts w:ascii="Arial" w:eastAsia="Arial" w:hAnsi="Arial" w:cs="Arial"/>
          <w:spacing w:val="1"/>
          <w:sz w:val="20"/>
        </w:rPr>
        <w:t>o</w:t>
      </w:r>
      <w:r w:rsidRPr="00F00D94">
        <w:rPr>
          <w:rFonts w:ascii="Arial" w:eastAsia="Arial" w:hAnsi="Arial" w:cs="Arial"/>
          <w:sz w:val="20"/>
        </w:rPr>
        <w:t>sts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du</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pacing w:val="-1"/>
          <w:sz w:val="20"/>
        </w:rPr>
        <w:t>rm</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w:t>
      </w:r>
      <w:r w:rsidRPr="00F00D94">
        <w:rPr>
          <w:rFonts w:ascii="Arial" w:eastAsia="Arial" w:hAnsi="Arial" w:cs="Arial"/>
          <w:spacing w:val="1"/>
          <w:sz w:val="20"/>
        </w:rPr>
        <w:t>b</w:t>
      </w:r>
      <w:r w:rsidRPr="00F00D94">
        <w:rPr>
          <w:rFonts w:ascii="Arial" w:eastAsia="Arial" w:hAnsi="Arial" w:cs="Arial"/>
          <w:sz w:val="20"/>
        </w:rPr>
        <w:t>) c</w:t>
      </w:r>
      <w:r w:rsidRPr="00F00D94">
        <w:rPr>
          <w:rFonts w:ascii="Arial" w:eastAsia="Arial" w:hAnsi="Arial" w:cs="Arial"/>
          <w:spacing w:val="1"/>
          <w:sz w:val="20"/>
        </w:rPr>
        <w:t>o</w:t>
      </w:r>
      <w:r w:rsidRPr="00F00D94">
        <w:rPr>
          <w:rFonts w:ascii="Arial" w:eastAsia="Arial" w:hAnsi="Arial" w:cs="Arial"/>
          <w:spacing w:val="-2"/>
          <w:sz w:val="20"/>
        </w:rPr>
        <w:t>s</w:t>
      </w:r>
      <w:r w:rsidRPr="00F00D94">
        <w:rPr>
          <w:rFonts w:ascii="Arial" w:eastAsia="Arial" w:hAnsi="Arial" w:cs="Arial"/>
          <w:sz w:val="20"/>
        </w:rPr>
        <w:t>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rre</w:t>
      </w:r>
      <w:r w:rsidRPr="00F00D94">
        <w:rPr>
          <w:rFonts w:ascii="Arial" w:eastAsia="Arial" w:hAnsi="Arial" w:cs="Arial"/>
          <w:sz w:val="20"/>
        </w:rPr>
        <w:t>d</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r to</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 xml:space="preserve">e </w:t>
      </w:r>
      <w:r w:rsidRPr="00F00D94">
        <w:rPr>
          <w:rFonts w:ascii="Arial" w:eastAsia="Arial" w:hAnsi="Arial" w:cs="Arial"/>
          <w:spacing w:val="1"/>
          <w:sz w:val="20"/>
        </w:rPr>
        <w:t>da</w:t>
      </w:r>
      <w:r w:rsidRPr="00F00D94">
        <w:rPr>
          <w:rFonts w:ascii="Arial" w:eastAsia="Arial" w:hAnsi="Arial" w:cs="Arial"/>
          <w:sz w:val="20"/>
        </w:rPr>
        <w:t>te</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4"/>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a</w:t>
      </w:r>
      <w:r w:rsidRPr="00F00D94">
        <w:rPr>
          <w:rFonts w:ascii="Arial" w:eastAsia="Arial" w:hAnsi="Arial" w:cs="Arial"/>
          <w:spacing w:val="-1"/>
          <w:sz w:val="20"/>
        </w:rPr>
        <w:t>u</w:t>
      </w:r>
      <w:r w:rsidRPr="00F00D94">
        <w:rPr>
          <w:rFonts w:ascii="Arial" w:eastAsia="Arial" w:hAnsi="Arial" w:cs="Arial"/>
          <w:sz w:val="20"/>
        </w:rPr>
        <w:t>t</w:t>
      </w:r>
      <w:r w:rsidRPr="00F00D94">
        <w:rPr>
          <w:rFonts w:ascii="Arial" w:eastAsia="Arial" w:hAnsi="Arial" w:cs="Arial"/>
          <w:spacing w:val="1"/>
          <w:sz w:val="20"/>
        </w:rPr>
        <w:t>ho</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2"/>
          <w:sz w:val="20"/>
        </w:rPr>
        <w:t>z</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b</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3"/>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al 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w:t>
      </w:r>
      <w:r w:rsidRPr="00F00D94">
        <w:rPr>
          <w:rFonts w:ascii="Arial" w:eastAsia="Arial" w:hAnsi="Arial" w:cs="Arial"/>
          <w:sz w:val="20"/>
        </w:rPr>
        <w:t>ncy</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pa</w:t>
      </w:r>
      <w:r w:rsidRPr="00F00D94">
        <w:rPr>
          <w:rFonts w:ascii="Arial" w:eastAsia="Arial" w:hAnsi="Arial" w:cs="Arial"/>
          <w:sz w:val="20"/>
        </w:rPr>
        <w:t>ss</w:t>
      </w:r>
      <w:r w:rsidRPr="00F00D94">
        <w:rPr>
          <w:rFonts w:ascii="Arial" w:eastAsia="Arial" w:hAnsi="Arial" w:cs="Arial"/>
          <w:spacing w:val="-1"/>
          <w:sz w:val="20"/>
        </w:rPr>
        <w:t>-</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r</w:t>
      </w:r>
      <w:r w:rsidRPr="00F00D94">
        <w:rPr>
          <w:rFonts w:ascii="Arial" w:eastAsia="Arial" w:hAnsi="Arial" w:cs="Arial"/>
          <w:spacing w:val="1"/>
          <w:sz w:val="20"/>
        </w:rPr>
        <w:t>ou</w:t>
      </w:r>
      <w:r w:rsidRPr="00F00D94">
        <w:rPr>
          <w:rFonts w:ascii="Arial" w:eastAsia="Arial" w:hAnsi="Arial" w:cs="Arial"/>
          <w:spacing w:val="-1"/>
          <w:sz w:val="20"/>
        </w:rPr>
        <w:t>g</w:t>
      </w:r>
      <w:r w:rsidRPr="00F00D94">
        <w:rPr>
          <w:rFonts w:ascii="Arial" w:eastAsia="Arial" w:hAnsi="Arial" w:cs="Arial"/>
          <w:sz w:val="20"/>
        </w:rPr>
        <w:t>h</w:t>
      </w:r>
      <w:r w:rsidRPr="00F00D94">
        <w:rPr>
          <w:rFonts w:ascii="Arial" w:eastAsia="Arial" w:hAnsi="Arial" w:cs="Arial"/>
          <w:spacing w:val="1"/>
          <w:sz w:val="20"/>
        </w:rPr>
        <w:t xml:space="preserve"> e</w:t>
      </w:r>
      <w:r w:rsidRPr="00F00D94">
        <w:rPr>
          <w:rFonts w:ascii="Arial" w:eastAsia="Arial" w:hAnsi="Arial" w:cs="Arial"/>
          <w:spacing w:val="-1"/>
          <w:sz w:val="20"/>
        </w:rPr>
        <w:t>n</w:t>
      </w:r>
      <w:r w:rsidRPr="00F00D94">
        <w:rPr>
          <w:rFonts w:ascii="Arial" w:eastAsia="Arial" w:hAnsi="Arial" w:cs="Arial"/>
          <w:sz w:val="20"/>
        </w:rPr>
        <w:t>tit</w:t>
      </w:r>
      <w:r w:rsidRPr="00F00D94">
        <w:rPr>
          <w:rFonts w:ascii="Arial" w:eastAsia="Arial" w:hAnsi="Arial" w:cs="Arial"/>
          <w:spacing w:val="-2"/>
          <w:sz w:val="20"/>
        </w:rPr>
        <w:t>y</w:t>
      </w:r>
      <w:r w:rsidRPr="00F00D94">
        <w:rPr>
          <w:rFonts w:ascii="Arial" w:eastAsia="Arial" w:hAnsi="Arial" w:cs="Arial"/>
          <w:sz w:val="20"/>
        </w:rPr>
        <w:t>.</w:t>
      </w:r>
    </w:p>
    <w:p w14:paraId="4DCE4B70"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financial </w:t>
      </w:r>
      <w:r w:rsidRPr="00F00D94">
        <w:rPr>
          <w:rFonts w:ascii="Arial" w:eastAsia="Arial" w:hAnsi="Arial" w:cs="Arial"/>
          <w:spacing w:val="1"/>
          <w:sz w:val="20"/>
        </w:rPr>
        <w:t>ob</w:t>
      </w:r>
      <w:r w:rsidRPr="00F00D94">
        <w:rPr>
          <w:rFonts w:ascii="Arial" w:eastAsia="Arial" w:hAnsi="Arial" w:cs="Arial"/>
          <w:spacing w:val="-3"/>
          <w:sz w:val="20"/>
        </w:rPr>
        <w:t>l</w:t>
      </w:r>
      <w:r w:rsidRPr="00F00D94">
        <w:rPr>
          <w:rFonts w:ascii="Arial" w:eastAsia="Arial" w:hAnsi="Arial" w:cs="Arial"/>
          <w:sz w:val="20"/>
        </w:rPr>
        <w:t>i</w:t>
      </w:r>
      <w:r w:rsidRPr="00F00D94">
        <w:rPr>
          <w:rFonts w:ascii="Arial" w:eastAsia="Arial" w:hAnsi="Arial" w:cs="Arial"/>
          <w:spacing w:val="-1"/>
          <w:sz w:val="20"/>
        </w:rPr>
        <w:t>g</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li</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da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w:t>
      </w:r>
      <w:r w:rsidRPr="00F00D94">
        <w:rPr>
          <w:rFonts w:ascii="Arial" w:eastAsia="Arial" w:hAnsi="Arial" w:cs="Arial"/>
          <w:spacing w:val="1"/>
          <w:sz w:val="20"/>
        </w:rPr>
        <w:t>h</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pacing w:val="-1"/>
          <w:sz w:val="20"/>
        </w:rPr>
        <w:t>d</w:t>
      </w:r>
      <w:r w:rsidRPr="00F00D94">
        <w:rPr>
          <w:rFonts w:ascii="Arial" w:eastAsia="Arial" w:hAnsi="Arial" w:cs="Arial"/>
          <w:sz w:val="20"/>
        </w:rPr>
        <w:t>.</w:t>
      </w:r>
    </w:p>
    <w:p w14:paraId="66B5C43B" w14:textId="56FC5E13" w:rsidR="00C30DAB" w:rsidRPr="00F00D94" w:rsidRDefault="008F7129" w:rsidP="008F7129">
      <w:pPr>
        <w:spacing w:after="240" w:line="242" w:lineRule="auto"/>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839CB" w:rsidRPr="00F00D94" w14:paraId="3CF9FC7B" w14:textId="77777777" w:rsidTr="00E0350C">
        <w:tc>
          <w:tcPr>
            <w:tcW w:w="5000" w:type="pct"/>
            <w:shd w:val="clear" w:color="auto" w:fill="548DD4" w:themeFill="text2" w:themeFillTint="99"/>
          </w:tcPr>
          <w:p w14:paraId="6635E75E" w14:textId="77777777" w:rsidR="002839CB" w:rsidRPr="00F00D94" w:rsidRDefault="002839CB"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839CB" w:rsidRPr="00F00D94" w14:paraId="4C23173E" w14:textId="77777777" w:rsidTr="00E0350C">
        <w:tc>
          <w:tcPr>
            <w:tcW w:w="5000" w:type="pct"/>
          </w:tcPr>
          <w:p w14:paraId="5D57D3C6"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D642BA6" w14:textId="77777777" w:rsidR="002839CB" w:rsidRPr="00F00D94" w:rsidRDefault="002839CB" w:rsidP="006672EA">
            <w:pPr>
              <w:pStyle w:val="AuditProcedureHeading"/>
              <w:spacing w:after="240"/>
              <w:jc w:val="both"/>
              <w:rPr>
                <w:rFonts w:cs="Arial"/>
                <w:b/>
                <w:bCs/>
                <w:szCs w:val="20"/>
                <w:u w:val="single"/>
              </w:rPr>
            </w:pPr>
          </w:p>
          <w:p w14:paraId="56EB352D" w14:textId="77777777" w:rsidR="002839CB" w:rsidRPr="00F00D94" w:rsidRDefault="002839CB"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863F031" w14:textId="77777777" w:rsidR="002839CB" w:rsidRPr="00F00D94" w:rsidRDefault="002839CB" w:rsidP="006672EA">
            <w:pPr>
              <w:pStyle w:val="AuditProcedureHeading"/>
              <w:spacing w:after="240"/>
              <w:jc w:val="both"/>
              <w:rPr>
                <w:rFonts w:cs="Arial"/>
                <w:b/>
                <w:bCs/>
                <w:szCs w:val="20"/>
                <w:u w:val="single"/>
              </w:rPr>
            </w:pPr>
          </w:p>
          <w:p w14:paraId="4D025068"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lastRenderedPageBreak/>
              <w:t>Person(s) responsible for performing the control procedure</w:t>
            </w:r>
            <w:r w:rsidRPr="00F00D94">
              <w:rPr>
                <w:rFonts w:ascii="Arial" w:hAnsi="Arial" w:cs="Arial"/>
                <w:sz w:val="20"/>
              </w:rPr>
              <w:t xml:space="preserve"> (title):</w:t>
            </w:r>
          </w:p>
          <w:p w14:paraId="6CD37FFE" w14:textId="77777777" w:rsidR="002839CB" w:rsidRPr="00F00D94" w:rsidRDefault="002839CB" w:rsidP="006672EA">
            <w:pPr>
              <w:spacing w:after="240"/>
              <w:jc w:val="both"/>
              <w:rPr>
                <w:rFonts w:ascii="Arial" w:hAnsi="Arial" w:cs="Arial"/>
                <w:b/>
                <w:sz w:val="20"/>
                <w:u w:val="single"/>
              </w:rPr>
            </w:pPr>
          </w:p>
          <w:p w14:paraId="08E227CA" w14:textId="77777777" w:rsidR="002839CB" w:rsidRPr="00F00D94" w:rsidRDefault="002839CB"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77777777" w:rsidR="00DC3468" w:rsidRPr="00F00D94" w:rsidRDefault="00DC3468" w:rsidP="006672EA">
      <w:pPr>
        <w:pStyle w:val="Heading3"/>
        <w:jc w:val="both"/>
        <w:rPr>
          <w:rFonts w:cs="Arial"/>
        </w:rPr>
      </w:pPr>
      <w:bookmarkStart w:id="54" w:name="_Toc116458439"/>
      <w:r w:rsidRPr="00F00D94">
        <w:rPr>
          <w:rFonts w:cs="Arial"/>
        </w:rPr>
        <w:t>Suggested Audit Procedures – Compliance</w:t>
      </w:r>
      <w:bookmarkEnd w:id="54"/>
    </w:p>
    <w:tbl>
      <w:tblPr>
        <w:tblStyle w:val="TableGrid"/>
        <w:tblW w:w="5000" w:type="pct"/>
        <w:tblLook w:val="04A0" w:firstRow="1" w:lastRow="0" w:firstColumn="1" w:lastColumn="0" w:noHBand="0" w:noVBand="1"/>
      </w:tblPr>
      <w:tblGrid>
        <w:gridCol w:w="9350"/>
      </w:tblGrid>
      <w:tr w:rsidR="002839CB" w:rsidRPr="00F00D94" w14:paraId="6BE02280" w14:textId="77777777" w:rsidTr="00E0350C">
        <w:tc>
          <w:tcPr>
            <w:tcW w:w="5000" w:type="pct"/>
            <w:shd w:val="clear" w:color="auto" w:fill="548DD4" w:themeFill="text2" w:themeFillTint="99"/>
          </w:tcPr>
          <w:p w14:paraId="11E05A0C" w14:textId="77777777" w:rsidR="002839CB" w:rsidRPr="00F00D94" w:rsidRDefault="002839CB" w:rsidP="006672EA">
            <w:pPr>
              <w:pStyle w:val="AuditProcedureHeading"/>
              <w:jc w:val="both"/>
              <w:rPr>
                <w:rFonts w:cs="Arial"/>
                <w:sz w:val="28"/>
                <w:szCs w:val="28"/>
              </w:rPr>
            </w:pPr>
            <w:r w:rsidRPr="00F00D94">
              <w:rPr>
                <w:rFonts w:cs="Arial"/>
                <w:b/>
                <w:sz w:val="28"/>
                <w:szCs w:val="28"/>
              </w:rPr>
              <w:t>Suggested Audit Procedures – Compliance (Substantive Tests)</w:t>
            </w:r>
          </w:p>
          <w:p w14:paraId="66EB4C6F" w14:textId="77777777" w:rsidR="002839CB" w:rsidRPr="00F00D94" w:rsidRDefault="002839CB"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839CB" w:rsidRPr="00F00D94" w14:paraId="2E2FC067" w14:textId="77777777" w:rsidTr="00E0350C">
        <w:tc>
          <w:tcPr>
            <w:tcW w:w="5000" w:type="pct"/>
          </w:tcPr>
          <w:p w14:paraId="45E99CC3"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F00D94" w14:paraId="56675D30" w14:textId="77777777" w:rsidTr="00E0350C">
        <w:tc>
          <w:tcPr>
            <w:tcW w:w="5000" w:type="pct"/>
          </w:tcPr>
          <w:p w14:paraId="78F507E8"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F00D94" w:rsidRDefault="00BA36CA" w:rsidP="006672EA">
      <w:pPr>
        <w:pStyle w:val="Heading3"/>
        <w:jc w:val="both"/>
        <w:rPr>
          <w:rFonts w:cs="Arial"/>
          <w:b w:val="0"/>
          <w:szCs w:val="24"/>
        </w:rPr>
      </w:pPr>
      <w:bookmarkStart w:id="55" w:name="_Toc116458440"/>
      <w:r w:rsidRPr="00F00D94">
        <w:rPr>
          <w:rFonts w:cs="Arial"/>
        </w:rPr>
        <w:t>Audit Implications Summary</w:t>
      </w:r>
      <w:bookmarkEnd w:id="55"/>
    </w:p>
    <w:tbl>
      <w:tblPr>
        <w:tblStyle w:val="TableGrid"/>
        <w:tblW w:w="5000" w:type="pct"/>
        <w:tblLook w:val="04A0" w:firstRow="1" w:lastRow="0" w:firstColumn="1" w:lastColumn="0" w:noHBand="0" w:noVBand="1"/>
      </w:tblPr>
      <w:tblGrid>
        <w:gridCol w:w="9350"/>
      </w:tblGrid>
      <w:tr w:rsidR="00BA36CA" w:rsidRPr="00F00D94" w14:paraId="6F19A09F" w14:textId="77777777" w:rsidTr="00E0350C">
        <w:tc>
          <w:tcPr>
            <w:tcW w:w="5000" w:type="pct"/>
            <w:shd w:val="clear" w:color="auto" w:fill="548DD4" w:themeFill="text2" w:themeFillTint="99"/>
          </w:tcPr>
          <w:p w14:paraId="4E31FF3D" w14:textId="77777777" w:rsidR="00BA36CA" w:rsidRPr="00F00D94" w:rsidRDefault="00BA36C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BA36CA" w:rsidRPr="00F00D94" w14:paraId="209A0E3E" w14:textId="77777777" w:rsidTr="00E0350C">
        <w:tc>
          <w:tcPr>
            <w:tcW w:w="5000" w:type="pct"/>
          </w:tcPr>
          <w:p w14:paraId="4533EF52" w14:textId="77777777" w:rsidR="00BA36CA" w:rsidRPr="00F00D94" w:rsidRDefault="00BA36CA" w:rsidP="00437268">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7470E47E" w14:textId="77777777" w:rsidR="00BA36CA" w:rsidRPr="00F00D94" w:rsidRDefault="00BA36CA" w:rsidP="006672EA">
            <w:pPr>
              <w:widowControl w:val="0"/>
              <w:spacing w:after="240"/>
              <w:ind w:left="720"/>
              <w:jc w:val="both"/>
              <w:rPr>
                <w:rFonts w:ascii="Arial" w:hAnsi="Arial" w:cs="Arial"/>
                <w:b/>
                <w:sz w:val="20"/>
              </w:rPr>
            </w:pPr>
          </w:p>
          <w:p w14:paraId="29FAAF75" w14:textId="77777777" w:rsidR="00BA36CA" w:rsidRPr="00F00D94" w:rsidRDefault="00BA36CA" w:rsidP="00437268">
            <w:pPr>
              <w:widowControl w:val="0"/>
              <w:numPr>
                <w:ilvl w:val="0"/>
                <w:numId w:val="25"/>
              </w:numPr>
              <w:spacing w:after="240"/>
              <w:jc w:val="both"/>
              <w:rPr>
                <w:rFonts w:ascii="Arial" w:eastAsiaTheme="minorHAnsi" w:hAnsi="Arial" w:cs="Arial"/>
                <w:b/>
                <w:sz w:val="20"/>
              </w:rPr>
            </w:pPr>
            <w:r w:rsidRPr="00F00D94">
              <w:rPr>
                <w:rFonts w:ascii="Arial" w:hAnsi="Arial" w:cs="Arial"/>
                <w:b/>
                <w:sz w:val="20"/>
              </w:rPr>
              <w:lastRenderedPageBreak/>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437268">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437268">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437268">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91"/>
          <w:pgSz w:w="12240" w:h="15840" w:code="1"/>
          <w:pgMar w:top="1440" w:right="1440" w:bottom="1440" w:left="1440" w:header="720" w:footer="720" w:gutter="0"/>
          <w:cols w:space="720"/>
          <w:noEndnote/>
        </w:sectPr>
      </w:pPr>
    </w:p>
    <w:p w14:paraId="27292665" w14:textId="77777777" w:rsidR="007E5B12" w:rsidRPr="00F00D94" w:rsidRDefault="007E5B12" w:rsidP="006672EA">
      <w:pPr>
        <w:pStyle w:val="Heading2"/>
        <w:jc w:val="both"/>
        <w:rPr>
          <w:rFonts w:cs="Arial"/>
        </w:rPr>
      </w:pPr>
      <w:bookmarkStart w:id="56" w:name="J___PROGRAM_INCOME"/>
      <w:bookmarkStart w:id="57" w:name="L___REPORTING"/>
      <w:bookmarkStart w:id="58" w:name="_Toc442267701"/>
      <w:bookmarkStart w:id="59" w:name="_Toc116458441"/>
      <w:bookmarkEnd w:id="56"/>
      <w:bookmarkEnd w:id="57"/>
      <w:r w:rsidRPr="00F00D94">
        <w:rPr>
          <w:rFonts w:cs="Arial"/>
        </w:rPr>
        <w:lastRenderedPageBreak/>
        <w:t>L.  REPORTING</w:t>
      </w:r>
      <w:bookmarkEnd w:id="58"/>
      <w:bookmarkEnd w:id="59"/>
    </w:p>
    <w:p w14:paraId="70B2BAF1" w14:textId="6376468E"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92"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A09FC4C" w14:textId="4B7D9AD0" w:rsidR="005570A7" w:rsidRPr="00F00D94" w:rsidRDefault="005570A7"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93"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3BAAFFB" w14:textId="16BE9FED" w:rsidR="007E5B12" w:rsidRPr="00F00D94" w:rsidRDefault="00261D87" w:rsidP="006672EA">
      <w:pPr>
        <w:pStyle w:val="Heading3"/>
        <w:jc w:val="both"/>
        <w:rPr>
          <w:rFonts w:cs="Arial"/>
        </w:rPr>
      </w:pPr>
      <w:bookmarkStart w:id="60" w:name="_Toc116458442"/>
      <w:r w:rsidRPr="00F00D94">
        <w:rPr>
          <w:rFonts w:cs="Arial"/>
        </w:rPr>
        <w:t xml:space="preserve">OMB </w:t>
      </w:r>
      <w:r w:rsidR="007E5B12" w:rsidRPr="00F00D94">
        <w:rPr>
          <w:rFonts w:cs="Arial"/>
        </w:rPr>
        <w:t>Compliance Requirements</w:t>
      </w:r>
      <w:bookmarkEnd w:id="60"/>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Financial Reporting</w:t>
      </w:r>
    </w:p>
    <w:p w14:paraId="60A636E8"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Recipients </w:t>
      </w:r>
      <w:r w:rsidR="00B61023" w:rsidRPr="00F00D94">
        <w:rPr>
          <w:rFonts w:ascii="Arial" w:hAnsi="Arial" w:cs="Arial"/>
          <w:sz w:val="20"/>
        </w:rPr>
        <w:t xml:space="preserve">must </w:t>
      </w:r>
      <w:r w:rsidRPr="00F00D94">
        <w:rPr>
          <w:rFonts w:ascii="Arial" w:hAnsi="Arial" w:cs="Arial"/>
          <w:sz w:val="20"/>
        </w:rPr>
        <w:t>use the standard financial reporting forms or such other forms as may be authorized by OMB (approval is indicated by an OMB paperwork control number on the form)</w:t>
      </w:r>
      <w:r w:rsidR="00B61023" w:rsidRPr="00F00D94">
        <w:rPr>
          <w:rFonts w:ascii="Arial" w:hAnsi="Arial" w:cs="Arial"/>
          <w:sz w:val="20"/>
        </w:rPr>
        <w:t xml:space="preserve"> when reporting to the Federal awarding agency</w:t>
      </w:r>
      <w:r w:rsidRPr="00F00D94">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financial reporting requirements for subrecipients are as specified by the pass-through entity.  In many cases, these will be the same as or similar to th</w:t>
      </w:r>
      <w:r w:rsidR="00B61023" w:rsidRPr="00F00D94">
        <w:rPr>
          <w:rFonts w:ascii="Arial" w:hAnsi="Arial" w:cs="Arial"/>
          <w:sz w:val="20"/>
        </w:rPr>
        <w:t>ose</w:t>
      </w:r>
      <w:r w:rsidRPr="00F00D94">
        <w:rPr>
          <w:rFonts w:ascii="Arial" w:hAnsi="Arial" w:cs="Arial"/>
          <w:sz w:val="20"/>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standard financial reporting forms for grants and cooperative agreements are as follows:</w:t>
      </w:r>
    </w:p>
    <w:p w14:paraId="42975D0E" w14:textId="77777777" w:rsidR="007C3D02" w:rsidRPr="00F00D94" w:rsidRDefault="007C3D02" w:rsidP="00437268">
      <w:pPr>
        <w:pStyle w:val="ListParagraph"/>
        <w:numPr>
          <w:ilvl w:val="0"/>
          <w:numId w:val="16"/>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437268">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437268">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3C58FBB4" w14:textId="297AE27E" w:rsidR="007C3D02" w:rsidRPr="00F00D94" w:rsidRDefault="007C3D02" w:rsidP="006672EA">
      <w:pPr>
        <w:spacing w:after="240"/>
        <w:jc w:val="both"/>
        <w:rPr>
          <w:rFonts w:ascii="Arial" w:hAnsi="Arial" w:cs="Arial"/>
          <w:sz w:val="20"/>
        </w:rPr>
      </w:pPr>
      <w:r w:rsidRPr="00F00D94">
        <w:rPr>
          <w:rFonts w:ascii="Arial" w:hAnsi="Arial" w:cs="Arial"/>
          <w:sz w:val="20"/>
        </w:rPr>
        <w:t xml:space="preserve">Electronic versions of the standard forms are located on </w:t>
      </w:r>
      <w:r w:rsidR="006A69A2" w:rsidRPr="00F00D94">
        <w:rPr>
          <w:rFonts w:ascii="Arial" w:hAnsi="Arial" w:cs="Arial"/>
          <w:sz w:val="20"/>
        </w:rPr>
        <w:t xml:space="preserve">agency’s </w:t>
      </w:r>
      <w:r w:rsidRPr="00F00D94">
        <w:rPr>
          <w:rFonts w:ascii="Arial" w:hAnsi="Arial" w:cs="Arial"/>
          <w:sz w:val="20"/>
        </w:rPr>
        <w:t xml:space="preserve">home </w:t>
      </w:r>
      <w:r w:rsidR="006A69A2" w:rsidRPr="00F00D94">
        <w:rPr>
          <w:rFonts w:ascii="Arial" w:hAnsi="Arial" w:cs="Arial"/>
          <w:sz w:val="20"/>
        </w:rPr>
        <w:t>page</w:t>
      </w:r>
      <w:r w:rsidR="007638EB" w:rsidRPr="00F00D94">
        <w:rPr>
          <w:rFonts w:ascii="Arial" w:hAnsi="Arial" w:cs="Arial"/>
          <w:color w:val="000000"/>
          <w:spacing w:val="-1"/>
          <w:sz w:val="20"/>
        </w:rPr>
        <w:t>.</w:t>
      </w:r>
      <w:r w:rsidR="006A69A2" w:rsidRPr="00F00D94">
        <w:rPr>
          <w:rFonts w:ascii="Arial" w:hAnsi="Arial" w:cs="Arial"/>
          <w:color w:val="000000"/>
          <w:spacing w:val="-1"/>
          <w:sz w:val="20"/>
        </w:rPr>
        <w:t xml:space="preserve"> </w:t>
      </w:r>
      <w:r w:rsidRPr="00F00D94">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lastRenderedPageBreak/>
        <w:t>Non-Federal entities may be required to submit performance reports at least annually but not more frequently than quarterly, except in unusual circumstances</w:t>
      </w:r>
      <w:r w:rsidR="00346332" w:rsidRPr="00F00D94">
        <w:rPr>
          <w:rFonts w:ascii="Arial" w:hAnsi="Arial" w:cs="Arial"/>
          <w:sz w:val="20"/>
        </w:rPr>
        <w:t>, using a form or format authorized by OMB (</w:t>
      </w:r>
      <w:r w:rsidR="005570A7" w:rsidRPr="00F00D94">
        <w:rPr>
          <w:rFonts w:ascii="Arial" w:hAnsi="Arial" w:cs="Arial"/>
          <w:sz w:val="20"/>
        </w:rPr>
        <w:t>2 CFR 200.329(c)(1)</w:t>
      </w:r>
      <w:r w:rsidR="00346332" w:rsidRPr="00F00D94">
        <w:rPr>
          <w:rFonts w:ascii="Arial" w:hAnsi="Arial" w:cs="Arial"/>
          <w:sz w:val="20"/>
        </w:rPr>
        <w:t>)</w:t>
      </w:r>
      <w:r w:rsidRPr="00F00D94">
        <w:rPr>
          <w:rFonts w:ascii="Arial" w:hAnsi="Arial" w:cs="Arial"/>
          <w:sz w:val="20"/>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Compliance testing of performance and special reporting </w:t>
      </w:r>
      <w:r w:rsidR="00271D8B" w:rsidRPr="00F00D94">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sz w:val="20"/>
        </w:rPr>
        <w:t xml:space="preserve"> capable of evaluation against objec</w:t>
      </w:r>
      <w:r w:rsidR="00740DC3" w:rsidRPr="00F00D94">
        <w:rPr>
          <w:rFonts w:ascii="Arial" w:hAnsi="Arial" w:cs="Arial"/>
          <w:sz w:val="20"/>
        </w:rPr>
        <w:t>tive criteria stated in the statutes</w:t>
      </w:r>
      <w:r w:rsidRPr="00F00D94">
        <w:rPr>
          <w:rFonts w:ascii="Arial" w:hAnsi="Arial" w:cs="Arial"/>
          <w:sz w:val="20"/>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Federal Funding Accountability and Transparency Act</w:t>
      </w:r>
    </w:p>
    <w:p w14:paraId="362583F7" w14:textId="558FB3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Under the requirements of the Federal Funding Accountability and Transparency Act (Pub. L. No. 109-282), as amended by Section 6202 of P</w:t>
      </w:r>
      <w:r w:rsidR="0054010F" w:rsidRPr="00F00D94">
        <w:rPr>
          <w:rFonts w:ascii="Arial" w:hAnsi="Arial" w:cs="Arial"/>
          <w:sz w:val="20"/>
        </w:rPr>
        <w:t>ub. L. No.</w:t>
      </w:r>
      <w:r w:rsidRPr="00F00D94">
        <w:rPr>
          <w:rFonts w:ascii="Arial" w:hAnsi="Arial" w:cs="Arial"/>
          <w:sz w:val="20"/>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sz w:val="20"/>
        </w:rPr>
        <w:t>f</w:t>
      </w:r>
      <w:r w:rsidRPr="00F00D94">
        <w:rPr>
          <w:rFonts w:ascii="Arial" w:hAnsi="Arial" w:cs="Arial"/>
          <w:sz w:val="20"/>
        </w:rPr>
        <w:t xml:space="preserve">ederal award received by the pass-through entity. It does not include payments to a contractor or payments to an individual that is a beneficiary of a </w:t>
      </w:r>
      <w:r w:rsidR="0054010F" w:rsidRPr="00F00D94">
        <w:rPr>
          <w:rFonts w:ascii="Arial" w:hAnsi="Arial" w:cs="Arial"/>
          <w:sz w:val="20"/>
        </w:rPr>
        <w:t>f</w:t>
      </w:r>
      <w:r w:rsidRPr="00F00D94">
        <w:rPr>
          <w:rFonts w:ascii="Arial" w:hAnsi="Arial" w:cs="Arial"/>
          <w:sz w:val="20"/>
        </w:rPr>
        <w:t>ederal program. A subaward may be provided through any form of legal agreement, including an agreement that the pass-through entity considers a contract.</w:t>
      </w:r>
    </w:p>
    <w:p w14:paraId="05954FF0"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Reporting Site</w:t>
      </w:r>
    </w:p>
    <w:p w14:paraId="1CFE23A9" w14:textId="314E0DB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94" w:history="1">
        <w:r w:rsidRPr="00F00D94">
          <w:rPr>
            <w:rStyle w:val="Hyperlink"/>
            <w:rFonts w:ascii="Arial" w:hAnsi="Arial" w:cs="Arial"/>
            <w:sz w:val="20"/>
          </w:rPr>
          <w:t>https://www.</w:t>
        </w:r>
        <w:r w:rsidRPr="00F00D94">
          <w:rPr>
            <w:rStyle w:val="Hyperlink"/>
            <w:rFonts w:ascii="Arial" w:hAnsi="Arial" w:cs="Arial"/>
            <w:sz w:val="20"/>
          </w:rPr>
          <w:t>u</w:t>
        </w:r>
        <w:r w:rsidRPr="00F00D94">
          <w:rPr>
            <w:rStyle w:val="Hyperlink"/>
            <w:rFonts w:ascii="Arial" w:hAnsi="Arial" w:cs="Arial"/>
            <w:sz w:val="20"/>
          </w:rPr>
          <w:t>saspending.gov/search</w:t>
        </w:r>
      </w:hyperlink>
      <w:r w:rsidRPr="00F00D94">
        <w:rPr>
          <w:rFonts w:ascii="Arial" w:hAnsi="Arial" w:cs="Arial"/>
          <w:sz w:val="20"/>
        </w:rPr>
        <w:t>).</w:t>
      </w:r>
    </w:p>
    <w:p w14:paraId="6FFC6340" w14:textId="52C19531" w:rsidR="00271D8B" w:rsidRPr="00F00D94" w:rsidRDefault="00271D8B" w:rsidP="00271D8B">
      <w:pPr>
        <w:spacing w:after="240"/>
        <w:jc w:val="both"/>
        <w:rPr>
          <w:rFonts w:ascii="Arial" w:hAnsi="Arial" w:cs="Arial"/>
          <w:i/>
          <w:sz w:val="20"/>
        </w:rPr>
      </w:pPr>
      <w:r w:rsidRPr="00F00D94">
        <w:rPr>
          <w:rFonts w:ascii="Arial" w:hAnsi="Arial" w:cs="Arial"/>
          <w:i/>
          <w:sz w:val="20"/>
        </w:rPr>
        <w:t xml:space="preserve">Key </w:t>
      </w:r>
      <w:r w:rsidR="0054010F" w:rsidRPr="00F00D94">
        <w:rPr>
          <w:rFonts w:ascii="Arial" w:hAnsi="Arial" w:cs="Arial"/>
          <w:i/>
          <w:sz w:val="20"/>
        </w:rPr>
        <w:t>D</w:t>
      </w:r>
      <w:r w:rsidRPr="00F00D94">
        <w:rPr>
          <w:rFonts w:ascii="Arial" w:hAnsi="Arial" w:cs="Arial"/>
          <w:i/>
          <w:sz w:val="20"/>
        </w:rPr>
        <w:t xml:space="preserve">ata </w:t>
      </w:r>
      <w:r w:rsidR="0054010F" w:rsidRPr="00F00D94">
        <w:rPr>
          <w:rFonts w:ascii="Arial" w:hAnsi="Arial" w:cs="Arial"/>
          <w:i/>
          <w:sz w:val="20"/>
        </w:rPr>
        <w:t>E</w:t>
      </w:r>
      <w:r w:rsidRPr="00F00D94">
        <w:rPr>
          <w:rFonts w:ascii="Arial" w:hAnsi="Arial" w:cs="Arial"/>
          <w:i/>
          <w:sz w:val="20"/>
        </w:rPr>
        <w:t>lements</w:t>
      </w:r>
    </w:p>
    <w:p w14:paraId="6A431DCD" w14:textId="77777777" w:rsidR="00271D8B" w:rsidRPr="00F00D94" w:rsidRDefault="00271D8B" w:rsidP="00271D8B">
      <w:pPr>
        <w:pStyle w:val="BodyText"/>
        <w:ind w:right="501"/>
        <w:jc w:val="both"/>
        <w:rPr>
          <w:rFonts w:ascii="Arial" w:hAnsi="Arial" w:cs="Arial"/>
          <w:sz w:val="20"/>
          <w:szCs w:val="20"/>
        </w:rPr>
      </w:pPr>
      <w:r w:rsidRPr="00F00D94">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 w:val="20"/>
          <w:szCs w:val="20"/>
        </w:rPr>
      </w:pPr>
    </w:p>
    <w:p w14:paraId="3BE71CA6" w14:textId="7722CE9E" w:rsidR="007C3D02" w:rsidRPr="00F00D94" w:rsidRDefault="00271D8B" w:rsidP="00271D8B">
      <w:pPr>
        <w:pStyle w:val="BodyText"/>
        <w:ind w:right="476"/>
        <w:jc w:val="both"/>
        <w:rPr>
          <w:rFonts w:ascii="Arial" w:hAnsi="Arial" w:cs="Arial"/>
          <w:sz w:val="20"/>
          <w:szCs w:val="20"/>
        </w:rPr>
      </w:pPr>
      <w:r w:rsidRPr="00F00D94">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Source of Governing Requirements</w:t>
      </w:r>
    </w:p>
    <w:p w14:paraId="1DFF858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 xml:space="preserve">Reporting requirements are contained in the following:  </w:t>
      </w:r>
    </w:p>
    <w:p w14:paraId="6EB35A38" w14:textId="67854DB1" w:rsidR="007C3D02" w:rsidRPr="00F00D94" w:rsidRDefault="007C3D02" w:rsidP="00437268">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ascii="Arial" w:hAnsi="Arial" w:cs="Arial"/>
        </w:rPr>
        <w:t xml:space="preserve"> </w:t>
      </w:r>
    </w:p>
    <w:p w14:paraId="71991B0A" w14:textId="000277CA" w:rsidR="007C3D02" w:rsidRPr="00F00D94" w:rsidRDefault="007C3D02" w:rsidP="00437268">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ascii="Arial" w:hAnsi="Arial" w:cs="Arial"/>
        </w:rPr>
        <w:t xml:space="preserve"> </w:t>
      </w:r>
    </w:p>
    <w:p w14:paraId="19AF42D9" w14:textId="0FE14CCD" w:rsidR="007C3D02" w:rsidRPr="00F00D94" w:rsidRDefault="007C3D02" w:rsidP="00437268">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437268">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437268">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437268">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9BA36DA" w:rsidR="00A12634" w:rsidRPr="00F00D94" w:rsidRDefault="006230CF" w:rsidP="00820994">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5B73A50"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589C7C4D" w14:textId="1BBB82B2"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95"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96"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7D69F84E" w14:textId="70A73BB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4CD1DC62" w14:textId="08D7F07A" w:rsidR="00B11502" w:rsidRPr="00B11502" w:rsidRDefault="00B11502" w:rsidP="00B11502">
      <w:pPr>
        <w:spacing w:after="240"/>
        <w:jc w:val="both"/>
        <w:rPr>
          <w:rFonts w:ascii="Arial" w:hAnsi="Arial" w:cs="Arial"/>
          <w:b/>
          <w:sz w:val="20"/>
        </w:rPr>
      </w:pPr>
      <w:r w:rsidRPr="00B11502">
        <w:rPr>
          <w:rFonts w:ascii="Arial" w:hAnsi="Arial" w:cs="Arial"/>
          <w:b/>
          <w:sz w:val="20"/>
        </w:rPr>
        <w:t>1.</w:t>
      </w:r>
      <w:r w:rsidRPr="00B11502">
        <w:rPr>
          <w:rFonts w:ascii="Arial" w:hAnsi="Arial" w:cs="Arial"/>
          <w:b/>
          <w:sz w:val="20"/>
        </w:rPr>
        <w:tab/>
        <w:t>Financial Reporting</w:t>
      </w:r>
    </w:p>
    <w:p w14:paraId="2A0072AB" w14:textId="77777777" w:rsidR="00B11502" w:rsidRPr="00B11502" w:rsidRDefault="00B11502" w:rsidP="00B11502">
      <w:pPr>
        <w:spacing w:after="240"/>
        <w:ind w:left="720"/>
        <w:jc w:val="both"/>
        <w:rPr>
          <w:rFonts w:ascii="Arial" w:hAnsi="Arial" w:cs="Arial"/>
          <w:sz w:val="20"/>
        </w:rPr>
      </w:pPr>
      <w:r w:rsidRPr="00B11502">
        <w:rPr>
          <w:rFonts w:ascii="Arial" w:hAnsi="Arial" w:cs="Arial"/>
          <w:sz w:val="20"/>
        </w:rPr>
        <w:t>a.</w:t>
      </w:r>
      <w:r w:rsidRPr="00B11502">
        <w:rPr>
          <w:rFonts w:ascii="Arial" w:hAnsi="Arial" w:cs="Arial"/>
          <w:sz w:val="20"/>
        </w:rPr>
        <w:tab/>
      </w:r>
      <w:r w:rsidRPr="00B11502">
        <w:rPr>
          <w:rFonts w:ascii="Arial" w:hAnsi="Arial" w:cs="Arial"/>
          <w:i/>
          <w:sz w:val="20"/>
        </w:rPr>
        <w:t>SF-270, Request for Advance or Reimbursement</w:t>
      </w:r>
      <w:r w:rsidRPr="00B11502">
        <w:rPr>
          <w:rFonts w:ascii="Arial" w:hAnsi="Arial" w:cs="Arial"/>
          <w:sz w:val="20"/>
        </w:rPr>
        <w:t xml:space="preserve"> – Not Applicable</w:t>
      </w:r>
    </w:p>
    <w:p w14:paraId="0B06E1A5" w14:textId="7E0EC63D" w:rsidR="00B11502" w:rsidRPr="00B11502" w:rsidRDefault="00B11502" w:rsidP="00950585">
      <w:pPr>
        <w:spacing w:after="240"/>
        <w:ind w:left="1440" w:hanging="720"/>
        <w:jc w:val="both"/>
        <w:rPr>
          <w:rFonts w:ascii="Arial" w:hAnsi="Arial" w:cs="Arial"/>
          <w:sz w:val="20"/>
        </w:rPr>
      </w:pPr>
      <w:r w:rsidRPr="00B11502">
        <w:rPr>
          <w:rFonts w:ascii="Arial" w:hAnsi="Arial" w:cs="Arial"/>
          <w:sz w:val="20"/>
        </w:rPr>
        <w:t>b.</w:t>
      </w:r>
      <w:r w:rsidRPr="00B11502">
        <w:rPr>
          <w:rFonts w:ascii="Arial" w:hAnsi="Arial" w:cs="Arial"/>
          <w:sz w:val="20"/>
        </w:rPr>
        <w:tab/>
      </w:r>
      <w:r w:rsidRPr="00B11502">
        <w:rPr>
          <w:rFonts w:ascii="Arial" w:hAnsi="Arial" w:cs="Arial"/>
          <w:i/>
          <w:sz w:val="20"/>
        </w:rPr>
        <w:t>SF-271, Outlay Report and Request for Reimbursement for Construction Programs</w:t>
      </w:r>
      <w:r w:rsidRPr="00B11502">
        <w:rPr>
          <w:rFonts w:ascii="Arial" w:hAnsi="Arial" w:cs="Arial"/>
          <w:sz w:val="20"/>
        </w:rPr>
        <w:t xml:space="preserve"> – Not Applicable</w:t>
      </w:r>
    </w:p>
    <w:p w14:paraId="2355864D" w14:textId="32CFF132" w:rsidR="00B11502" w:rsidRPr="00990501" w:rsidRDefault="00B11502" w:rsidP="00990501">
      <w:pPr>
        <w:spacing w:after="240"/>
        <w:ind w:left="720"/>
        <w:jc w:val="both"/>
        <w:rPr>
          <w:rFonts w:ascii="Arial" w:hAnsi="Arial" w:cs="Arial"/>
          <w:sz w:val="20"/>
        </w:rPr>
      </w:pPr>
      <w:r w:rsidRPr="00B11502">
        <w:rPr>
          <w:rFonts w:ascii="Arial" w:hAnsi="Arial" w:cs="Arial"/>
          <w:sz w:val="20"/>
        </w:rPr>
        <w:t>c.</w:t>
      </w:r>
      <w:r w:rsidRPr="00B11502">
        <w:rPr>
          <w:rFonts w:ascii="Arial" w:hAnsi="Arial" w:cs="Arial"/>
          <w:sz w:val="20"/>
        </w:rPr>
        <w:tab/>
      </w:r>
      <w:r w:rsidRPr="00B11502">
        <w:rPr>
          <w:rFonts w:ascii="Arial" w:hAnsi="Arial" w:cs="Arial"/>
          <w:i/>
          <w:sz w:val="20"/>
        </w:rPr>
        <w:t>SF-425, Federal Financial Report</w:t>
      </w:r>
      <w:r w:rsidRPr="00B11502">
        <w:rPr>
          <w:rFonts w:ascii="Arial" w:hAnsi="Arial" w:cs="Arial"/>
          <w:sz w:val="20"/>
        </w:rPr>
        <w:t xml:space="preserve"> – Applicable</w:t>
      </w:r>
    </w:p>
    <w:p w14:paraId="3947C20C" w14:textId="0B2FE409" w:rsidR="00B11502" w:rsidRPr="00B11502" w:rsidRDefault="00B11502" w:rsidP="00B11502">
      <w:pPr>
        <w:spacing w:after="240"/>
        <w:jc w:val="both"/>
        <w:rPr>
          <w:rFonts w:ascii="Arial" w:hAnsi="Arial" w:cs="Arial"/>
          <w:b/>
          <w:sz w:val="20"/>
        </w:rPr>
      </w:pPr>
      <w:r w:rsidRPr="00B11502">
        <w:rPr>
          <w:rFonts w:ascii="Arial" w:hAnsi="Arial" w:cs="Arial"/>
          <w:b/>
          <w:sz w:val="20"/>
        </w:rPr>
        <w:t>2.</w:t>
      </w:r>
      <w:r w:rsidRPr="00B11502">
        <w:rPr>
          <w:rFonts w:ascii="Arial" w:hAnsi="Arial" w:cs="Arial"/>
          <w:b/>
          <w:sz w:val="20"/>
        </w:rPr>
        <w:tab/>
        <w:t>Performance Reporting</w:t>
      </w:r>
      <w:r w:rsidR="00990501">
        <w:rPr>
          <w:rFonts w:ascii="Arial" w:hAnsi="Arial" w:cs="Arial"/>
          <w:b/>
          <w:sz w:val="20"/>
        </w:rPr>
        <w:t xml:space="preserve"> </w:t>
      </w:r>
      <w:r w:rsidR="00990501" w:rsidRPr="00990501">
        <w:rPr>
          <w:rFonts w:ascii="Arial" w:hAnsi="Arial" w:cs="Arial"/>
          <w:sz w:val="20"/>
        </w:rPr>
        <w:t>- See Special Reporting</w:t>
      </w:r>
    </w:p>
    <w:p w14:paraId="4C4045D9" w14:textId="697C8A2E" w:rsidR="00B11502" w:rsidRPr="00B11502" w:rsidRDefault="00B11502" w:rsidP="00B11502">
      <w:pPr>
        <w:spacing w:after="240"/>
        <w:jc w:val="both"/>
        <w:rPr>
          <w:rFonts w:ascii="Arial" w:hAnsi="Arial" w:cs="Arial"/>
          <w:b/>
          <w:sz w:val="20"/>
        </w:rPr>
      </w:pPr>
      <w:r w:rsidRPr="00B11502">
        <w:rPr>
          <w:rFonts w:ascii="Arial" w:hAnsi="Arial" w:cs="Arial"/>
          <w:b/>
          <w:sz w:val="20"/>
        </w:rPr>
        <w:t>3.</w:t>
      </w:r>
      <w:r w:rsidRPr="00B11502">
        <w:rPr>
          <w:rFonts w:ascii="Arial" w:hAnsi="Arial" w:cs="Arial"/>
          <w:b/>
          <w:sz w:val="20"/>
        </w:rPr>
        <w:tab/>
        <w:t>Special Reporting</w:t>
      </w:r>
    </w:p>
    <w:p w14:paraId="02E8CC11" w14:textId="63C29537" w:rsidR="00B11502" w:rsidRPr="00B11502" w:rsidRDefault="00B11502" w:rsidP="00990501">
      <w:pPr>
        <w:spacing w:after="240"/>
        <w:ind w:left="720"/>
        <w:jc w:val="both"/>
        <w:rPr>
          <w:rFonts w:ascii="Arial" w:hAnsi="Arial" w:cs="Arial"/>
          <w:b/>
          <w:sz w:val="20"/>
        </w:rPr>
      </w:pPr>
      <w:r w:rsidRPr="00B11502">
        <w:rPr>
          <w:rFonts w:ascii="Arial" w:hAnsi="Arial" w:cs="Arial"/>
          <w:b/>
          <w:sz w:val="20"/>
        </w:rPr>
        <w:t>ERA 1 and ERA 2 Reports</w:t>
      </w:r>
    </w:p>
    <w:p w14:paraId="0CEF988C" w14:textId="37469E8B" w:rsidR="00B11502" w:rsidRPr="00990501" w:rsidRDefault="00B11502" w:rsidP="00990501">
      <w:pPr>
        <w:spacing w:after="240"/>
        <w:ind w:left="720"/>
        <w:jc w:val="both"/>
        <w:rPr>
          <w:rFonts w:ascii="Arial" w:hAnsi="Arial" w:cs="Arial"/>
          <w:sz w:val="20"/>
        </w:rPr>
      </w:pPr>
      <w:r w:rsidRPr="00990501">
        <w:rPr>
          <w:rFonts w:ascii="Arial" w:hAnsi="Arial" w:cs="Arial"/>
          <w:sz w:val="20"/>
        </w:rPr>
        <w:t xml:space="preserve">ERA 1 and ERA 2 quarterly and monthly reporting requirements are available at the links provided below. Grantees are required to submit reports in accordance with the guidance beginning in the first quarter of 2021 through September of 2022 for ERA 1 (and December 2022 for recipients receiving reallocated funds) and through September of 2025 for ERA 2. ERA 1 grantees—excluding Indian tribes, tribally designated housing entities and the Department of Hawaiian Home Lands consistent with the reporting allowances provided in section 501(g) of the Consolidated </w:t>
      </w:r>
      <w:r w:rsidRPr="00990501">
        <w:rPr>
          <w:rFonts w:ascii="Arial" w:hAnsi="Arial" w:cs="Arial"/>
          <w:sz w:val="20"/>
        </w:rPr>
        <w:lastRenderedPageBreak/>
        <w:t>Appropriations Act, 2021—are required to submit monthly reports. Interim reporting requirements that were temporarily in place through the second quarter of 2021 pursuant to OMB Memorandum M-21-20 while grantees responded to the housing crisis and Treasury deployed new reporting features have been replaced by the complete quarterly reporting requirements in Treasury’s reporting and compliance guidance available on Treasury.gov. Interim reports should be reviewed where submitted prior to issuance of the full reporting requirements for consistency with internal records and good faith effort by grantees. Reporting guidance and terminology issued by Treasury at the time of report filing periods may be utilized, except where grantees were instructed to update report submissions in accordance with more recent instructions.</w:t>
      </w:r>
    </w:p>
    <w:p w14:paraId="68C84B30" w14:textId="785F54F6" w:rsidR="00B11502" w:rsidRPr="00990501" w:rsidRDefault="00B11502" w:rsidP="00990501">
      <w:pPr>
        <w:spacing w:after="240"/>
        <w:ind w:left="720"/>
        <w:jc w:val="both"/>
        <w:rPr>
          <w:rFonts w:ascii="Arial" w:hAnsi="Arial" w:cs="Arial"/>
          <w:sz w:val="20"/>
        </w:rPr>
      </w:pPr>
      <w:r w:rsidRPr="00990501">
        <w:rPr>
          <w:rFonts w:ascii="Arial" w:hAnsi="Arial" w:cs="Arial"/>
          <w:sz w:val="20"/>
        </w:rPr>
        <w:t>The reports that ERA grantees must submit are:</w:t>
      </w:r>
    </w:p>
    <w:p w14:paraId="595AA09C" w14:textId="532E5059" w:rsidR="00B11502" w:rsidRPr="00CE12D2" w:rsidRDefault="00B11502" w:rsidP="00437268">
      <w:pPr>
        <w:pStyle w:val="ListParagraph"/>
        <w:numPr>
          <w:ilvl w:val="0"/>
          <w:numId w:val="49"/>
        </w:numPr>
        <w:spacing w:after="240"/>
        <w:jc w:val="both"/>
        <w:rPr>
          <w:rFonts w:ascii="Arial" w:hAnsi="Arial" w:cs="Arial"/>
        </w:rPr>
      </w:pPr>
      <w:r w:rsidRPr="00990501">
        <w:rPr>
          <w:rFonts w:ascii="Arial" w:hAnsi="Arial" w:cs="Arial"/>
          <w:b/>
        </w:rPr>
        <w:t>Monthly Reports (1505-0266):</w:t>
      </w:r>
      <w:r w:rsidRPr="00990501">
        <w:rPr>
          <w:rFonts w:ascii="Arial" w:hAnsi="Arial" w:cs="Arial"/>
        </w:rPr>
        <w:t xml:space="preserve"> The two Monthly Reporting questions are included in the information collection for the Interim Quarterly Reports. Beginning with the monthly report for the April 1 through April 30, 2021, period of performance for ERA 1 generally due to Treasury by May 15, 2021, state, local and territorial grantees receiving ERA 1 awards submit monthly reports. For ERA 2, monthly reporting began with the June 1 through June 30, 2021 period of performance and reports were due to Treasury by July 15, 2021, or where otherwise extended in an approved authorization from </w:t>
      </w:r>
      <w:hyperlink r:id="rId97" w:history="1">
        <w:r w:rsidRPr="00990501">
          <w:rPr>
            <w:rStyle w:val="Hyperlink"/>
            <w:rFonts w:ascii="Arial" w:hAnsi="Arial" w:cs="Arial"/>
          </w:rPr>
          <w:t>EmergencyRentalAssistance@Treasury.gov</w:t>
        </w:r>
      </w:hyperlink>
      <w:r w:rsidRPr="00990501">
        <w:rPr>
          <w:rFonts w:ascii="Arial" w:hAnsi="Arial" w:cs="Arial"/>
        </w:rPr>
        <w:t>. Grantees receiving ERA 1 and ERA 2 allocations later in the award cycle as evidenced by award or reallocation dates are not required to submit reports for periods not covered by the assistance agreement. Tribal government</w:t>
      </w:r>
      <w:r w:rsidR="00990501" w:rsidRPr="00990501">
        <w:rPr>
          <w:rFonts w:ascii="Arial" w:hAnsi="Arial" w:cs="Arial"/>
        </w:rPr>
        <w:t xml:space="preserve"> </w:t>
      </w:r>
      <w:r w:rsidRPr="00990501">
        <w:rPr>
          <w:rFonts w:ascii="Arial" w:hAnsi="Arial" w:cs="Arial"/>
        </w:rPr>
        <w:t>grantees are exempt from the monthly reporting requirement, as detailed in Treasury guidance.</w:t>
      </w:r>
    </w:p>
    <w:p w14:paraId="48892120" w14:textId="279A8ED1" w:rsidR="00B11502" w:rsidRDefault="00B11502" w:rsidP="00CE12D2">
      <w:pPr>
        <w:spacing w:after="240"/>
        <w:ind w:left="1080"/>
        <w:jc w:val="both"/>
        <w:rPr>
          <w:rFonts w:ascii="Arial" w:hAnsi="Arial" w:cs="Arial"/>
          <w:sz w:val="20"/>
        </w:rPr>
      </w:pPr>
      <w:r w:rsidRPr="00CE12D2">
        <w:rPr>
          <w:rFonts w:ascii="Arial" w:hAnsi="Arial" w:cs="Arial"/>
          <w:sz w:val="20"/>
        </w:rPr>
        <w:t>The key lines on the form are:</w:t>
      </w:r>
    </w:p>
    <w:p w14:paraId="35B7E1A8" w14:textId="689CEEC3" w:rsidR="000E494B" w:rsidRPr="00CE12D2" w:rsidRDefault="000E494B" w:rsidP="000E494B">
      <w:pPr>
        <w:spacing w:after="240"/>
        <w:ind w:left="1080"/>
        <w:jc w:val="both"/>
        <w:rPr>
          <w:rFonts w:ascii="Arial" w:hAnsi="Arial" w:cs="Arial"/>
          <w:sz w:val="20"/>
        </w:rPr>
      </w:pPr>
      <w:r>
        <w:rPr>
          <w:rFonts w:ascii="Arial" w:hAnsi="Arial" w:cs="Arial"/>
          <w:sz w:val="20"/>
        </w:rPr>
        <w:t>1.</w:t>
      </w:r>
      <w:r>
        <w:rPr>
          <w:rFonts w:ascii="Arial" w:hAnsi="Arial" w:cs="Arial"/>
          <w:sz w:val="20"/>
        </w:rPr>
        <w:tab/>
        <w:t>Total number of participating households that received ERA assistance of any kind; and</w:t>
      </w:r>
    </w:p>
    <w:p w14:paraId="6F65AC55" w14:textId="0D56F859" w:rsidR="000E494B" w:rsidRPr="00CE12D2" w:rsidRDefault="000E494B" w:rsidP="000E494B">
      <w:pPr>
        <w:spacing w:after="240"/>
        <w:ind w:left="1440" w:hanging="360"/>
        <w:jc w:val="both"/>
        <w:rPr>
          <w:rFonts w:ascii="Arial" w:hAnsi="Arial" w:cs="Arial"/>
          <w:sz w:val="20"/>
        </w:rPr>
      </w:pPr>
      <w:r w:rsidRPr="00CE12D2">
        <w:rPr>
          <w:rFonts w:ascii="Arial" w:hAnsi="Arial" w:cs="Arial"/>
          <w:sz w:val="20"/>
        </w:rPr>
        <w:t>2.</w:t>
      </w:r>
      <w:r w:rsidRPr="00CE12D2">
        <w:rPr>
          <w:rFonts w:ascii="Arial" w:hAnsi="Arial" w:cs="Arial"/>
          <w:sz w:val="20"/>
        </w:rPr>
        <w:tab/>
      </w:r>
      <w:r>
        <w:rPr>
          <w:rFonts w:ascii="Arial" w:hAnsi="Arial" w:cs="Arial"/>
          <w:sz w:val="20"/>
        </w:rPr>
        <w:t xml:space="preserve">Total </w:t>
      </w:r>
      <w:r w:rsidRPr="000E494B">
        <w:rPr>
          <w:rFonts w:ascii="Arial" w:hAnsi="Arial" w:cs="Arial"/>
          <w:sz w:val="20"/>
        </w:rPr>
        <w:t>amount of ERA funds expended by the ERA grantee to or for participating households on behalf of eligible households. This a key line item because it feeds into Treasury’s reallocation formula, as detailed in guidance at Treasury.gov.</w:t>
      </w:r>
    </w:p>
    <w:p w14:paraId="296BA4B1" w14:textId="11AC528A" w:rsidR="00B11502" w:rsidRPr="00CE12D2" w:rsidRDefault="00B11502" w:rsidP="00437268">
      <w:pPr>
        <w:pStyle w:val="ListParagraph"/>
        <w:numPr>
          <w:ilvl w:val="0"/>
          <w:numId w:val="49"/>
        </w:numPr>
        <w:spacing w:after="240"/>
        <w:jc w:val="both"/>
        <w:rPr>
          <w:rFonts w:ascii="Arial" w:hAnsi="Arial" w:cs="Arial"/>
          <w:b/>
        </w:rPr>
      </w:pPr>
      <w:r w:rsidRPr="00CE12D2">
        <w:rPr>
          <w:rFonts w:ascii="Arial" w:hAnsi="Arial" w:cs="Arial"/>
          <w:b/>
        </w:rPr>
        <w:t>Quarterly Reports (1505-0266):</w:t>
      </w:r>
      <w:r w:rsidRPr="00CE12D2">
        <w:rPr>
          <w:rFonts w:ascii="Arial" w:hAnsi="Arial" w:cs="Arial"/>
        </w:rPr>
        <w:t xml:space="preserve"> All ERA grantees must submit quarterly reports with reporting periods of one calendar quarter and several cumulative fields covering all activity from the date of award through the quarter close. These reports provide financial and performance data regarding grantee administration of their ERA projects and capture program design in addition to program status data elements. Quarterly reports are intended to capture standard financial and performance data, as well as detailed information on qualifying direct and indirect expenditures pursuant to the government-wide Federal Funding Accountability and Transparency Act (FFATA) reporting requirements and in accordance with Section 15011 of the CARES Act, as amended and interpreted in Treasury’s reporting and compliance guidance on Treasury.gov.</w:t>
      </w:r>
    </w:p>
    <w:p w14:paraId="29F2DDDB" w14:textId="334D483B" w:rsidR="00B11502" w:rsidRPr="00CE12D2" w:rsidRDefault="00B11502" w:rsidP="00CE12D2">
      <w:pPr>
        <w:spacing w:after="240"/>
        <w:ind w:left="1080"/>
        <w:jc w:val="both"/>
        <w:rPr>
          <w:rFonts w:ascii="Arial" w:hAnsi="Arial" w:cs="Arial"/>
          <w:sz w:val="20"/>
        </w:rPr>
      </w:pPr>
      <w:r w:rsidRPr="00CE12D2">
        <w:rPr>
          <w:rFonts w:ascii="Arial" w:hAnsi="Arial" w:cs="Arial"/>
          <w:sz w:val="20"/>
        </w:rPr>
        <w:t>The key line items in the form are:</w:t>
      </w:r>
    </w:p>
    <w:p w14:paraId="5F6F9B6F" w14:textId="27856FCE" w:rsidR="00B11502" w:rsidRPr="00CE12D2" w:rsidRDefault="00B11502" w:rsidP="00D07697">
      <w:pPr>
        <w:spacing w:after="240"/>
        <w:ind w:left="1080"/>
        <w:jc w:val="both"/>
        <w:rPr>
          <w:rFonts w:ascii="Arial" w:hAnsi="Arial" w:cs="Arial"/>
          <w:sz w:val="20"/>
        </w:rPr>
      </w:pPr>
      <w:r w:rsidRPr="00CE12D2">
        <w:rPr>
          <w:rFonts w:ascii="Arial" w:hAnsi="Arial" w:cs="Arial"/>
          <w:sz w:val="20"/>
        </w:rPr>
        <w:t>1.</w:t>
      </w:r>
      <w:r w:rsidRPr="00CE12D2">
        <w:rPr>
          <w:rFonts w:ascii="Arial" w:hAnsi="Arial" w:cs="Arial"/>
          <w:sz w:val="20"/>
        </w:rPr>
        <w:tab/>
        <w:t>The cumulative amount obligated by the grantee; and</w:t>
      </w:r>
    </w:p>
    <w:p w14:paraId="530F2494" w14:textId="6C61E7C7" w:rsidR="00B11502" w:rsidRPr="00CE12D2" w:rsidRDefault="00B11502" w:rsidP="00D07697">
      <w:pPr>
        <w:spacing w:after="240"/>
        <w:ind w:left="1080"/>
        <w:jc w:val="both"/>
        <w:rPr>
          <w:rFonts w:ascii="Arial" w:hAnsi="Arial" w:cs="Arial"/>
          <w:sz w:val="20"/>
        </w:rPr>
      </w:pPr>
      <w:r w:rsidRPr="00CE12D2">
        <w:rPr>
          <w:rFonts w:ascii="Arial" w:hAnsi="Arial" w:cs="Arial"/>
          <w:sz w:val="20"/>
        </w:rPr>
        <w:t>2.</w:t>
      </w:r>
      <w:r w:rsidRPr="00CE12D2">
        <w:rPr>
          <w:rFonts w:ascii="Arial" w:hAnsi="Arial" w:cs="Arial"/>
          <w:sz w:val="20"/>
        </w:rPr>
        <w:tab/>
        <w:t>The cumulative amount expended by the grantee</w:t>
      </w:r>
    </w:p>
    <w:p w14:paraId="06FB1C0F" w14:textId="77777777" w:rsidR="00B11502" w:rsidRPr="00D07697" w:rsidRDefault="00B11502" w:rsidP="00D07697">
      <w:pPr>
        <w:spacing w:after="240"/>
        <w:ind w:left="1080"/>
        <w:jc w:val="both"/>
        <w:rPr>
          <w:rFonts w:ascii="Arial" w:hAnsi="Arial" w:cs="Arial"/>
          <w:sz w:val="20"/>
        </w:rPr>
      </w:pPr>
      <w:r w:rsidRPr="00D07697">
        <w:rPr>
          <w:rFonts w:ascii="Arial" w:hAnsi="Arial" w:cs="Arial"/>
          <w:sz w:val="20"/>
        </w:rPr>
        <w:t>The above are key line items because grantees must certify 65 percent of funds as having been obligated, including the assumed up to 10 percent obligation provided for in Treasury’s guidance, to qualify for receiving a reallocation payment for ERA1 and grantees are subject to returning funds under reallocation where their expenditure ratio for ERA 1 is less than the requirement in effect at the time, as detailed in Treasury’s reallocation guidance (the threshold escalates).</w:t>
      </w:r>
    </w:p>
    <w:p w14:paraId="3F30BED8" w14:textId="73C6E65F" w:rsidR="00B11502" w:rsidRPr="00B11502" w:rsidRDefault="00B11502" w:rsidP="004F6084">
      <w:pPr>
        <w:spacing w:after="240"/>
        <w:ind w:left="720"/>
        <w:jc w:val="both"/>
        <w:rPr>
          <w:rFonts w:ascii="Arial" w:hAnsi="Arial" w:cs="Arial"/>
          <w:b/>
          <w:sz w:val="20"/>
        </w:rPr>
      </w:pPr>
      <w:r w:rsidRPr="00B11502">
        <w:rPr>
          <w:rFonts w:ascii="Arial" w:hAnsi="Arial" w:cs="Arial"/>
          <w:b/>
          <w:sz w:val="20"/>
        </w:rPr>
        <w:lastRenderedPageBreak/>
        <w:t>Evaluating Grantee Data Privacy Protection</w:t>
      </w:r>
    </w:p>
    <w:p w14:paraId="0CD9E8F1" w14:textId="1B8A5118" w:rsidR="00B11502" w:rsidRPr="004F6084" w:rsidRDefault="00B11502" w:rsidP="004F6084">
      <w:pPr>
        <w:spacing w:after="240"/>
        <w:ind w:left="720"/>
        <w:jc w:val="both"/>
        <w:rPr>
          <w:rFonts w:ascii="Arial" w:hAnsi="Arial" w:cs="Arial"/>
          <w:sz w:val="20"/>
        </w:rPr>
      </w:pPr>
      <w:r w:rsidRPr="004F6084">
        <w:rPr>
          <w:rFonts w:ascii="Arial" w:hAnsi="Arial" w:cs="Arial"/>
          <w:sz w:val="20"/>
        </w:rPr>
        <w:t>Where select grantees are initially unable to utilize the Treasury ERA reporting portal due solely to Treasury’s identity proofing and authentication provider ID.me not accepting tribal identification cards and other reasonable, documented technology limitations related to broadband access, Treasury provided grantees flexibility as long as some form of reasonable notice and request for exception was provided and that the grantee otherwise met reporting requirements and eventually provided one reasonably reliable quarterly report for each of the periods of performance beginning December 27, 2020 through September of 2022 and beyond for ERA 2 under the American Rescue Plan Act of 2021. While identity proofing and authentication are critical for maintaining grantee and household privacy, Treasury is aware of some hardships and as of January 2022 has released an alternative identity proofing solution for grantees demonstrating hardship through Login.gov.</w:t>
      </w:r>
    </w:p>
    <w:p w14:paraId="4CEC53A9" w14:textId="7573B5F5" w:rsidR="00B11502" w:rsidRPr="004F6084" w:rsidRDefault="00B11502" w:rsidP="004F6084">
      <w:pPr>
        <w:spacing w:after="240"/>
        <w:ind w:left="720"/>
        <w:jc w:val="both"/>
        <w:rPr>
          <w:rFonts w:ascii="Arial" w:hAnsi="Arial" w:cs="Arial"/>
          <w:sz w:val="20"/>
        </w:rPr>
      </w:pPr>
      <w:r w:rsidRPr="004F6084">
        <w:rPr>
          <w:rFonts w:ascii="Arial" w:hAnsi="Arial" w:cs="Arial"/>
          <w:sz w:val="20"/>
        </w:rPr>
        <w:t>A full list of reports and reporting requirements may be found in Treasury’s reporting and compliance guidance page here. Please note that tribal grantees and tribal housing authorities were exempt from several components of reporting pursuant to Section 501 of the Consolidated Appropriations Act, 2021, including monthly reporting, demographic and socioeconomic exhibits, and household data files as detailed in Appendix 1 – Reporting Elements by ERA Recipient Type and Appendix 6 – Required ERA1 and ERA2 Monthly Reports, of the Emergency Rental Assistance Program Reporting Guidance.</w:t>
      </w:r>
    </w:p>
    <w:p w14:paraId="6D2EA236" w14:textId="3B8AFE0C" w:rsidR="00B11502" w:rsidRPr="004F6084" w:rsidRDefault="00B11502" w:rsidP="004F6084">
      <w:pPr>
        <w:spacing w:after="240"/>
        <w:ind w:left="720"/>
        <w:jc w:val="both"/>
        <w:rPr>
          <w:rFonts w:ascii="Arial" w:hAnsi="Arial" w:cs="Arial"/>
          <w:sz w:val="20"/>
        </w:rPr>
      </w:pPr>
      <w:r w:rsidRPr="004F6084">
        <w:rPr>
          <w:rFonts w:ascii="Arial" w:hAnsi="Arial" w:cs="Arial"/>
          <w:sz w:val="20"/>
        </w:rPr>
        <w:t>Grantees under ERA 1 are required to comply with the requirement in section 501(g)(4) of Division N of the Consolidated Appropriations Act, 2021 to establish data privacy and security requirements for information they collect and grantees under ERA 2 are also encouraged to comply with those requirements.</w:t>
      </w:r>
    </w:p>
    <w:p w14:paraId="141009BC" w14:textId="3F775677" w:rsidR="00B11502" w:rsidRPr="004F6084" w:rsidRDefault="00B11502" w:rsidP="004F6084">
      <w:pPr>
        <w:spacing w:after="240"/>
        <w:ind w:left="720"/>
        <w:jc w:val="both"/>
        <w:rPr>
          <w:rFonts w:ascii="Arial" w:hAnsi="Arial" w:cs="Arial"/>
          <w:sz w:val="20"/>
        </w:rPr>
      </w:pPr>
      <w:r w:rsidRPr="004F6084">
        <w:rPr>
          <w:rFonts w:ascii="Arial" w:hAnsi="Arial" w:cs="Arial"/>
          <w:sz w:val="20"/>
        </w:rPr>
        <w:t>Treasury’s Office of Inspector General may require the collection of additional information in order to fulfill its ERA oversight and monitoring requirements.</w:t>
      </w:r>
    </w:p>
    <w:p w14:paraId="3DFC4937" w14:textId="62867D29" w:rsidR="004F6084" w:rsidRDefault="00B11502" w:rsidP="00950585">
      <w:pPr>
        <w:spacing w:after="240"/>
        <w:jc w:val="both"/>
        <w:rPr>
          <w:rStyle w:val="Emphasis"/>
          <w:rFonts w:ascii="Arial" w:hAnsi="Arial" w:cs="Arial"/>
          <w:i w:val="0"/>
          <w:sz w:val="20"/>
        </w:rPr>
      </w:pPr>
      <w:r w:rsidRPr="00B11502">
        <w:rPr>
          <w:rFonts w:ascii="Arial" w:hAnsi="Arial" w:cs="Arial"/>
          <w:b/>
          <w:sz w:val="20"/>
        </w:rPr>
        <w:t>4.</w:t>
      </w:r>
      <w:r w:rsidRPr="00B11502">
        <w:rPr>
          <w:rFonts w:ascii="Arial" w:hAnsi="Arial" w:cs="Arial"/>
          <w:b/>
          <w:sz w:val="20"/>
        </w:rPr>
        <w:tab/>
        <w:t>Special Reporting for Federal Funding Accountability and Transparency Act</w:t>
      </w:r>
      <w:r w:rsidR="00950585">
        <w:rPr>
          <w:rFonts w:ascii="Arial" w:hAnsi="Arial" w:cs="Arial"/>
          <w:b/>
          <w:sz w:val="20"/>
        </w:rPr>
        <w:t xml:space="preserve"> – See above </w:t>
      </w:r>
    </w:p>
    <w:p w14:paraId="32B4DAAE" w14:textId="2CA71D55" w:rsidR="004F6084" w:rsidRPr="004F6084" w:rsidRDefault="004F6084" w:rsidP="00950585">
      <w:pPr>
        <w:spacing w:after="240"/>
        <w:jc w:val="both"/>
        <w:rPr>
          <w:rStyle w:val="Emphasis"/>
          <w:rFonts w:ascii="Arial" w:hAnsi="Arial" w:cs="Arial"/>
          <w:i w:val="0"/>
          <w:sz w:val="20"/>
        </w:rPr>
      </w:pPr>
      <w:r w:rsidRPr="00BC7F42">
        <w:rPr>
          <w:rFonts w:ascii="Arial" w:hAnsi="Arial" w:cs="Arial"/>
          <w:bCs/>
          <w:i/>
          <w:sz w:val="20"/>
        </w:rPr>
        <w:t xml:space="preserve">(Source: </w:t>
      </w:r>
      <w:r>
        <w:rPr>
          <w:rFonts w:ascii="Arial" w:hAnsi="Arial" w:cs="Arial"/>
          <w:bCs/>
          <w:i/>
          <w:sz w:val="20"/>
        </w:rPr>
        <w:t>2022 OMB Compliance Supplement, Part 4, Treasury, Emergency Rental Assistance Program)</w:t>
      </w:r>
    </w:p>
    <w:p w14:paraId="5979A865" w14:textId="77777777" w:rsidR="00703F98" w:rsidRPr="00F00D94" w:rsidRDefault="00703F98" w:rsidP="006672EA">
      <w:pPr>
        <w:pStyle w:val="Heading3"/>
        <w:jc w:val="both"/>
        <w:rPr>
          <w:rFonts w:cs="Arial"/>
        </w:rPr>
      </w:pPr>
      <w:bookmarkStart w:id="61" w:name="_Toc116458443"/>
      <w:r w:rsidRPr="00F00D94">
        <w:rPr>
          <w:rFonts w:cs="Arial"/>
        </w:rPr>
        <w:t>Additional Program Specific Information</w:t>
      </w:r>
      <w:bookmarkEnd w:id="61"/>
    </w:p>
    <w:p w14:paraId="08B31F61" w14:textId="54CA8D5D" w:rsidR="0011590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Reporting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the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121F05EF" w14:textId="799E11D5" w:rsidR="00950585" w:rsidRDefault="00950585" w:rsidP="00950585">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100443">
        <w:rPr>
          <w:rFonts w:ascii="Arial" w:hAnsi="Arial" w:cs="Arial"/>
          <w:bCs/>
          <w:i/>
          <w:sz w:val="20"/>
          <w:highlight w:val="green"/>
        </w:rPr>
        <w:t>CFAE Note</w:t>
      </w:r>
      <w:r>
        <w:rPr>
          <w:rFonts w:ascii="Arial" w:hAnsi="Arial" w:cs="Arial"/>
          <w:bCs/>
          <w:sz w:val="20"/>
        </w:rPr>
        <w:t>: Pl</w:t>
      </w:r>
      <w:r w:rsidRPr="00100443">
        <w:rPr>
          <w:rFonts w:ascii="Arial" w:hAnsi="Arial" w:cs="Arial"/>
          <w:bCs/>
          <w:sz w:val="20"/>
        </w:rPr>
        <w:t>ease be aware that as long as the auditee is submitting the required reports to Treasury, Treasury will meet FFATA requirements by submitting required information through FSRS.gov on behalf of the auditee therefore there is no need to separately test FFATA reporting unless the auditee decided to directly report information through FSRS.gov.</w:t>
      </w:r>
    </w:p>
    <w:p w14:paraId="4B645356" w14:textId="567441EF" w:rsidR="00950585" w:rsidRPr="00950585" w:rsidRDefault="009505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950585">
        <w:rPr>
          <w:rFonts w:ascii="Arial" w:hAnsi="Arial" w:cs="Arial"/>
          <w:bCs/>
          <w:i/>
          <w:sz w:val="20"/>
        </w:rPr>
        <w:t>(Source:</w:t>
      </w:r>
      <w:r>
        <w:rPr>
          <w:rFonts w:ascii="Arial" w:hAnsi="Arial" w:cs="Arial"/>
          <w:bCs/>
          <w:i/>
          <w:sz w:val="20"/>
        </w:rPr>
        <w:t xml:space="preserve"> </w:t>
      </w:r>
      <w:r w:rsidRPr="00950585">
        <w:rPr>
          <w:rFonts w:ascii="Arial" w:hAnsi="Arial" w:cs="Arial"/>
          <w:bCs/>
          <w:i/>
          <w:sz w:val="20"/>
          <w:highlight w:val="green"/>
        </w:rPr>
        <w:t>CFAE</w:t>
      </w:r>
      <w:r w:rsidRPr="00950585">
        <w:rPr>
          <w:rFonts w:ascii="Arial" w:hAnsi="Arial" w:cs="Arial"/>
          <w:bCs/>
          <w:i/>
          <w:sz w:val="20"/>
        </w:rPr>
        <w:t>)</w:t>
      </w:r>
    </w:p>
    <w:p w14:paraId="3289C082" w14:textId="77777777" w:rsidR="00F87F25" w:rsidRPr="00F00D94" w:rsidRDefault="00A55B64" w:rsidP="006672EA">
      <w:pPr>
        <w:pStyle w:val="Heading3"/>
        <w:jc w:val="both"/>
        <w:rPr>
          <w:rFonts w:cs="Arial"/>
          <w:bCs/>
        </w:rPr>
      </w:pPr>
      <w:bookmarkStart w:id="62" w:name="_Toc116458444"/>
      <w:r w:rsidRPr="00F00D94">
        <w:rPr>
          <w:rFonts w:cs="Arial"/>
        </w:rPr>
        <w:t>Audit Objectives</w:t>
      </w:r>
      <w:r w:rsidR="00F87F25" w:rsidRPr="00F00D94">
        <w:rPr>
          <w:rFonts w:cs="Arial"/>
        </w:rPr>
        <w:t xml:space="preserve"> and Control Testing</w:t>
      </w:r>
      <w:bookmarkEnd w:id="62"/>
    </w:p>
    <w:p w14:paraId="4A51DD36" w14:textId="05A9CF90"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1A03F7A" w14:textId="6555DBFA" w:rsidR="000E5EED" w:rsidRPr="00F00D94" w:rsidRDefault="00B013E4" w:rsidP="00437268">
      <w:pPr>
        <w:pStyle w:val="BodyText"/>
        <w:widowControl w:val="0"/>
        <w:numPr>
          <w:ilvl w:val="0"/>
          <w:numId w:val="36"/>
        </w:numPr>
        <w:autoSpaceDE w:val="0"/>
        <w:autoSpaceDN w:val="0"/>
        <w:spacing w:after="0"/>
        <w:rPr>
          <w:rFonts w:ascii="Arial" w:hAnsi="Arial" w:cs="Arial"/>
          <w:sz w:val="20"/>
          <w:szCs w:val="20"/>
        </w:rPr>
      </w:pPr>
      <w:hyperlink r:id="rId98"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3BB00383" w14:textId="29E4EA73" w:rsidR="000E5EED" w:rsidRPr="00F00D94" w:rsidRDefault="00B013E4" w:rsidP="00437268">
      <w:pPr>
        <w:pStyle w:val="BodyText"/>
        <w:widowControl w:val="0"/>
        <w:numPr>
          <w:ilvl w:val="0"/>
          <w:numId w:val="36"/>
        </w:numPr>
        <w:autoSpaceDE w:val="0"/>
        <w:autoSpaceDN w:val="0"/>
        <w:spacing w:after="0"/>
        <w:rPr>
          <w:rFonts w:ascii="Arial" w:hAnsi="Arial" w:cs="Arial"/>
          <w:sz w:val="20"/>
          <w:szCs w:val="20"/>
        </w:rPr>
      </w:pPr>
      <w:hyperlink r:id="rId99" w:history="1">
        <w:r w:rsidR="000E5EED" w:rsidRPr="00F00D94">
          <w:rPr>
            <w:rStyle w:val="Hyperlink"/>
            <w:rFonts w:ascii="Arial" w:hAnsi="Arial" w:cs="Arial"/>
            <w:sz w:val="20"/>
            <w:szCs w:val="20"/>
          </w:rPr>
          <w:t>2013 COSO</w:t>
        </w:r>
      </w:hyperlink>
    </w:p>
    <w:p w14:paraId="6A838A69" w14:textId="4E031571" w:rsidR="000E5EED" w:rsidRPr="00F00D94" w:rsidRDefault="00B013E4" w:rsidP="00437268">
      <w:pPr>
        <w:pStyle w:val="BodyText"/>
        <w:widowControl w:val="0"/>
        <w:numPr>
          <w:ilvl w:val="0"/>
          <w:numId w:val="36"/>
        </w:numPr>
        <w:autoSpaceDE w:val="0"/>
        <w:autoSpaceDN w:val="0"/>
        <w:rPr>
          <w:rStyle w:val="Hyperlink"/>
          <w:rFonts w:ascii="Arial" w:hAnsi="Arial" w:cs="Arial"/>
          <w:color w:val="auto"/>
          <w:sz w:val="20"/>
          <w:szCs w:val="20"/>
          <w:u w:val="none"/>
        </w:rPr>
      </w:pPr>
      <w:hyperlink r:id="rId100" w:history="1">
        <w:r w:rsidR="000E5EED" w:rsidRPr="00F00D94">
          <w:rPr>
            <w:rStyle w:val="Hyperlink"/>
            <w:rFonts w:ascii="Arial" w:hAnsi="Arial" w:cs="Arial"/>
            <w:sz w:val="20"/>
            <w:szCs w:val="20"/>
          </w:rPr>
          <w:t>GAO’s 2014 Green Book</w:t>
        </w:r>
      </w:hyperlink>
    </w:p>
    <w:p w14:paraId="5361C578"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lastRenderedPageBreak/>
        <w:t>Audit Objectives</w:t>
      </w:r>
    </w:p>
    <w:p w14:paraId="68E178F0"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CE9820E"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2F1806" w14:textId="58F8B7C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required reports for federal awards include all activity of the reporting period, are supported by applicable accounting or performance records, and are fairly presented in accordance with governing requirements.</w:t>
      </w:r>
    </w:p>
    <w:p w14:paraId="4AB955D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1D1A68F3" w14:textId="77777777" w:rsidTr="00E0350C">
        <w:tc>
          <w:tcPr>
            <w:tcW w:w="5000" w:type="pct"/>
            <w:shd w:val="clear" w:color="auto" w:fill="548DD4" w:themeFill="text2" w:themeFillTint="99"/>
          </w:tcPr>
          <w:p w14:paraId="602C4330"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13C0F082" w14:textId="77777777" w:rsidTr="00E0350C">
        <w:tc>
          <w:tcPr>
            <w:tcW w:w="5000" w:type="pct"/>
          </w:tcPr>
          <w:p w14:paraId="1938E3F5"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68DF1E4" w14:textId="77777777" w:rsidR="002C2985" w:rsidRPr="00F00D94" w:rsidRDefault="002C2985" w:rsidP="006672EA">
            <w:pPr>
              <w:pStyle w:val="AuditProcedureHeading"/>
              <w:spacing w:after="240"/>
              <w:jc w:val="both"/>
              <w:rPr>
                <w:rFonts w:cs="Arial"/>
                <w:b/>
                <w:bCs/>
                <w:szCs w:val="20"/>
                <w:u w:val="single"/>
              </w:rPr>
            </w:pPr>
          </w:p>
          <w:p w14:paraId="7E858108"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2B3FB80" w14:textId="77777777" w:rsidR="002C2985" w:rsidRPr="00F00D94" w:rsidRDefault="002C2985" w:rsidP="006672EA">
            <w:pPr>
              <w:pStyle w:val="AuditProcedureHeading"/>
              <w:spacing w:after="240"/>
              <w:jc w:val="both"/>
              <w:rPr>
                <w:rFonts w:cs="Arial"/>
                <w:b/>
                <w:bCs/>
                <w:szCs w:val="20"/>
                <w:u w:val="single"/>
              </w:rPr>
            </w:pPr>
          </w:p>
          <w:p w14:paraId="2DC45769"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05A1EED" w14:textId="77777777" w:rsidR="002C2985" w:rsidRPr="00F00D94" w:rsidRDefault="002C2985" w:rsidP="006672EA">
            <w:pPr>
              <w:spacing w:after="240"/>
              <w:jc w:val="both"/>
              <w:rPr>
                <w:rFonts w:ascii="Arial" w:hAnsi="Arial" w:cs="Arial"/>
                <w:b/>
                <w:sz w:val="20"/>
                <w:u w:val="single"/>
              </w:rPr>
            </w:pPr>
          </w:p>
          <w:p w14:paraId="7C614462"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6D4563E9" w:rsidR="007C3D02" w:rsidRPr="00F00D94" w:rsidRDefault="007C3D02" w:rsidP="006672EA">
      <w:pPr>
        <w:pStyle w:val="Heading3"/>
        <w:jc w:val="both"/>
        <w:rPr>
          <w:rFonts w:cs="Arial"/>
        </w:rPr>
      </w:pPr>
      <w:bookmarkStart w:id="63" w:name="_Toc116458445"/>
      <w:r w:rsidRPr="00F00D94">
        <w:rPr>
          <w:rFonts w:cs="Arial"/>
        </w:rPr>
        <w:t>Suggested Audit Procedures – Compliance</w:t>
      </w:r>
      <w:bookmarkEnd w:id="63"/>
    </w:p>
    <w:tbl>
      <w:tblPr>
        <w:tblStyle w:val="TableGrid"/>
        <w:tblW w:w="5000" w:type="pct"/>
        <w:tblLook w:val="04A0" w:firstRow="1" w:lastRow="0" w:firstColumn="1" w:lastColumn="0" w:noHBand="0" w:noVBand="1"/>
      </w:tblPr>
      <w:tblGrid>
        <w:gridCol w:w="9350"/>
      </w:tblGrid>
      <w:tr w:rsidR="00FB3B37" w:rsidRPr="00F00D94" w14:paraId="79266125" w14:textId="77777777" w:rsidTr="00E0350C">
        <w:tc>
          <w:tcPr>
            <w:tcW w:w="5000" w:type="pct"/>
            <w:shd w:val="clear" w:color="auto" w:fill="548DD4" w:themeFill="text2" w:themeFillTint="99"/>
          </w:tcPr>
          <w:p w14:paraId="46B22B9C" w14:textId="77777777" w:rsidR="00FB3B37" w:rsidRPr="00F00D94" w:rsidRDefault="00FB3B37" w:rsidP="006672EA">
            <w:pPr>
              <w:pStyle w:val="AuditProcedureHeading"/>
              <w:jc w:val="both"/>
              <w:rPr>
                <w:rFonts w:cs="Arial"/>
                <w:sz w:val="28"/>
                <w:szCs w:val="28"/>
              </w:rPr>
            </w:pPr>
            <w:r w:rsidRPr="00F00D94">
              <w:rPr>
                <w:rFonts w:cs="Arial"/>
                <w:b/>
                <w:sz w:val="28"/>
                <w:szCs w:val="28"/>
              </w:rPr>
              <w:t>Suggested Audit Procedures – Compliance (Substantive Tests)</w:t>
            </w:r>
          </w:p>
          <w:p w14:paraId="3C3FDDA2" w14:textId="77777777" w:rsidR="00FB3B37" w:rsidRPr="00F00D94" w:rsidRDefault="00FB3B37"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B3B37" w:rsidRPr="00F00D94" w14:paraId="3036E723" w14:textId="77777777" w:rsidTr="00E0350C">
        <w:tc>
          <w:tcPr>
            <w:tcW w:w="5000" w:type="pct"/>
          </w:tcPr>
          <w:p w14:paraId="5069CBB7" w14:textId="77777777" w:rsidR="00FB3B37" w:rsidRPr="00F00D94" w:rsidRDefault="00FB3B37" w:rsidP="006672EA">
            <w:pPr>
              <w:spacing w:after="240"/>
              <w:jc w:val="both"/>
              <w:rPr>
                <w:rFonts w:ascii="Arial" w:hAnsi="Arial" w:cs="Arial"/>
                <w:sz w:val="20"/>
              </w:rPr>
            </w:pPr>
            <w:r w:rsidRPr="00F00D94">
              <w:rPr>
                <w:rFonts w:ascii="Arial" w:hAnsi="Arial" w:cs="Arial"/>
                <w:b/>
                <w:sz w:val="20"/>
              </w:rPr>
              <w:t>Note</w:t>
            </w:r>
            <w:r w:rsidR="00163435" w:rsidRPr="00F00D94">
              <w:rPr>
                <w:rFonts w:ascii="Arial" w:hAnsi="Arial" w:cs="Arial"/>
                <w:b/>
                <w:sz w:val="20"/>
              </w:rPr>
              <w:t xml:space="preserve"> for Direct Awards Only</w:t>
            </w:r>
            <w:r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Pr="00F00D94">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B3B37" w:rsidRPr="00F00D94" w14:paraId="686FE52E" w14:textId="77777777" w:rsidTr="00E0350C">
        <w:tc>
          <w:tcPr>
            <w:tcW w:w="5000" w:type="pct"/>
          </w:tcPr>
          <w:p w14:paraId="454DFE8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433CA92"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t>Special reports for FFATA</w:t>
            </w:r>
          </w:p>
          <w:p w14:paraId="0DC316A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(1)</w:t>
            </w:r>
            <w:r w:rsidRPr="00F00D94">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F00D94">
              <w:rPr>
                <w:rFonts w:ascii="Arial" w:hAnsi="Arial" w:cs="Arial"/>
                <w:sz w:val="20"/>
              </w:rPr>
              <w:t>If the subaward/subcontract was subject to reporting under the Transparency Act:</w:t>
            </w:r>
          </w:p>
          <w:p w14:paraId="00329114"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(a)</w:t>
            </w:r>
            <w:r w:rsidRPr="00F00D94">
              <w:rPr>
                <w:rFonts w:ascii="Arial" w:hAnsi="Arial" w:cs="Arial"/>
                <w:sz w:val="20"/>
              </w:rPr>
              <w:tab/>
              <w:t>Using the FAIN, find the award in FSRS.</w:t>
            </w:r>
          </w:p>
          <w:p w14:paraId="7176DD45"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F00D94">
              <w:rPr>
                <w:rFonts w:ascii="Arial" w:hAnsi="Arial" w:cs="Arial"/>
                <w:sz w:val="20"/>
              </w:rPr>
              <w:t>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(b)</w:t>
            </w:r>
            <w:r w:rsidRPr="00F00D94">
              <w:rPr>
                <w:rFonts w:ascii="Arial" w:hAnsi="Arial" w:cs="Arial"/>
                <w:sz w:val="20"/>
              </w:rPr>
              <w:tab/>
              <w:t>Compare the award information accessed in step 2.a to the subaward/subcontract documents maintained by the recipient to assess if—</w:t>
            </w:r>
          </w:p>
          <w:p w14:paraId="010657D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applicable subaward obligations /modifications have been reported,</w:t>
            </w:r>
          </w:p>
          <w:p w14:paraId="7752B13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key data elements (see above) were accurately reported and are supported by the source documentation, and</w:t>
            </w:r>
          </w:p>
          <w:p w14:paraId="5479958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rPr>
            </w:pPr>
            <w:r w:rsidRPr="00F00D94">
              <w:rPr>
                <w:rFonts w:ascii="Arial" w:hAnsi="Arial" w:cs="Arial"/>
                <w:sz w:val="20"/>
              </w:rPr>
              <w:t>(c)</w:t>
            </w:r>
            <w:r w:rsidRPr="00F00D94">
              <w:rPr>
                <w:rFonts w:ascii="Arial" w:hAnsi="Arial" w:cs="Arial"/>
                <w:sz w:val="20"/>
              </w:rPr>
              <w:tab/>
              <w:t>The auditor must provide the following information for non- compliance finding (s) as the results of step 2.b.</w:t>
            </w:r>
          </w:p>
          <w:p w14:paraId="043F34F2"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The non-federal entity did not report the subaward information</w:t>
            </w:r>
          </w:p>
          <w:p w14:paraId="0BAA5BF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lastRenderedPageBreak/>
              <w:t>(ii)</w:t>
            </w:r>
            <w:r w:rsidRPr="00F00D94">
              <w:rPr>
                <w:rFonts w:ascii="Arial" w:hAnsi="Arial" w:cs="Arial"/>
                <w:sz w:val="20"/>
              </w:rPr>
              <w:tab/>
              <w:t>The non-federal entity did not report the subaward information timely</w:t>
            </w:r>
          </w:p>
          <w:p w14:paraId="36BC262D"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non-federal entity reported incorrect amount</w:t>
            </w:r>
          </w:p>
          <w:p w14:paraId="14F497D6"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(iv)</w:t>
            </w:r>
            <w:r w:rsidRPr="00F00D94">
              <w:rPr>
                <w:rFonts w:ascii="Arial" w:hAnsi="Arial" w:cs="Arial"/>
                <w:sz w:val="20"/>
              </w:rPr>
              <w:tab/>
              <w:t>The non-federal entity did not report all the key data elements</w:t>
            </w:r>
          </w:p>
          <w:p w14:paraId="536F2FB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00D94">
              <w:rPr>
                <w:rFonts w:ascii="Arial" w:hAnsi="Arial" w:cs="Arial"/>
                <w:sz w:val="20"/>
                <w:szCs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00D94"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00D94" w:rsidRDefault="00271D8B" w:rsidP="00271D8B">
                  <w:pPr>
                    <w:pStyle w:val="TableParagraph"/>
                    <w:ind w:left="578" w:right="250" w:hanging="300"/>
                    <w:rPr>
                      <w:rFonts w:ascii="Arial" w:hAnsi="Arial" w:cs="Arial"/>
                      <w:b/>
                      <w:sz w:val="20"/>
                      <w:szCs w:val="20"/>
                    </w:rPr>
                  </w:pPr>
                  <w:r w:rsidRPr="00F00D94">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00D94" w:rsidRDefault="00271D8B" w:rsidP="00271D8B">
                  <w:pPr>
                    <w:pStyle w:val="TableParagraph"/>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00D94" w:rsidRDefault="00271D8B" w:rsidP="00271D8B">
                  <w:pPr>
                    <w:pStyle w:val="TableParagraph"/>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00D94" w:rsidRDefault="00271D8B" w:rsidP="00271D8B">
                  <w:pPr>
                    <w:pStyle w:val="TableParagraph"/>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00D94" w:rsidRDefault="00271D8B" w:rsidP="00271D8B">
                  <w:pPr>
                    <w:pStyle w:val="TableParagraph"/>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00D94" w:rsidRDefault="00271D8B" w:rsidP="00271D8B">
                  <w:pPr>
                    <w:pStyle w:val="TableParagraph"/>
                    <w:spacing w:before="92"/>
                    <w:ind w:left="175" w:right="166"/>
                    <w:jc w:val="center"/>
                    <w:rPr>
                      <w:rFonts w:ascii="Arial" w:hAnsi="Arial" w:cs="Arial"/>
                      <w:sz w:val="20"/>
                      <w:szCs w:val="20"/>
                    </w:rPr>
                  </w:pPr>
                  <w:r w:rsidRPr="00F00D94">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00D94" w:rsidRDefault="00271D8B" w:rsidP="00271D8B">
                  <w:pPr>
                    <w:pStyle w:val="TableParagraph"/>
                    <w:spacing w:before="92"/>
                    <w:ind w:left="11"/>
                    <w:jc w:val="center"/>
                    <w:rPr>
                      <w:rFonts w:ascii="Arial" w:hAnsi="Arial" w:cs="Arial"/>
                      <w:sz w:val="20"/>
                      <w:szCs w:val="20"/>
                    </w:rPr>
                  </w:pPr>
                  <w:r w:rsidRPr="00F00D94">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00D94" w:rsidRDefault="00271D8B" w:rsidP="00271D8B">
                  <w:pPr>
                    <w:pStyle w:val="TableParagraph"/>
                    <w:spacing w:before="92"/>
                    <w:ind w:left="285" w:right="277"/>
                    <w:jc w:val="center"/>
                    <w:rPr>
                      <w:rFonts w:ascii="Arial" w:hAnsi="Arial" w:cs="Arial"/>
                      <w:sz w:val="20"/>
                      <w:szCs w:val="20"/>
                    </w:rPr>
                  </w:pPr>
                  <w:r w:rsidRPr="00F00D94">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00D94" w:rsidRDefault="00271D8B" w:rsidP="00271D8B">
                  <w:pPr>
                    <w:pStyle w:val="TableParagraph"/>
                    <w:spacing w:before="92"/>
                    <w:ind w:left="303" w:right="297"/>
                    <w:jc w:val="center"/>
                    <w:rPr>
                      <w:rFonts w:ascii="Arial" w:hAnsi="Arial" w:cs="Arial"/>
                      <w:sz w:val="20"/>
                      <w:szCs w:val="20"/>
                    </w:rPr>
                  </w:pPr>
                  <w:r w:rsidRPr="00F00D94">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00D94" w:rsidRDefault="00271D8B" w:rsidP="00271D8B">
                  <w:pPr>
                    <w:pStyle w:val="TableParagraph"/>
                    <w:spacing w:before="92"/>
                    <w:ind w:left="3"/>
                    <w:jc w:val="center"/>
                    <w:rPr>
                      <w:rFonts w:ascii="Arial" w:hAnsi="Arial" w:cs="Arial"/>
                      <w:sz w:val="20"/>
                      <w:szCs w:val="20"/>
                    </w:rPr>
                  </w:pPr>
                  <w:r w:rsidRPr="00F00D94">
                    <w:rPr>
                      <w:rFonts w:ascii="Arial" w:hAnsi="Arial" w:cs="Arial"/>
                      <w:sz w:val="20"/>
                      <w:szCs w:val="20"/>
                    </w:rPr>
                    <w:t>0</w:t>
                  </w:r>
                </w:p>
              </w:tc>
            </w:tr>
            <w:tr w:rsidR="00271D8B" w:rsidRPr="00F00D94"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00D94" w:rsidRDefault="00271D8B" w:rsidP="00271D8B">
                  <w:pPr>
                    <w:pStyle w:val="TableParagraph"/>
                    <w:spacing w:before="1"/>
                    <w:ind w:left="177" w:right="166"/>
                    <w:jc w:val="center"/>
                    <w:rPr>
                      <w:rFonts w:ascii="Arial" w:hAnsi="Arial" w:cs="Arial"/>
                      <w:b/>
                      <w:sz w:val="20"/>
                      <w:szCs w:val="20"/>
                    </w:rPr>
                  </w:pPr>
                  <w:r w:rsidRPr="00F00D94">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00D94" w:rsidRDefault="00271D8B" w:rsidP="00271D8B">
                  <w:pPr>
                    <w:pStyle w:val="TableParagraph"/>
                    <w:spacing w:before="1"/>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00D94" w:rsidRDefault="00271D8B" w:rsidP="00271D8B">
                  <w:pPr>
                    <w:pStyle w:val="TableParagraph"/>
                    <w:spacing w:before="1"/>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00D94" w:rsidRDefault="00271D8B" w:rsidP="00271D8B">
                  <w:pPr>
                    <w:pStyle w:val="TableParagraph"/>
                    <w:spacing w:before="1"/>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00D94" w:rsidRDefault="00271D8B" w:rsidP="00271D8B">
                  <w:pPr>
                    <w:pStyle w:val="TableParagraph"/>
                    <w:spacing w:before="1"/>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00D94" w:rsidRDefault="00271D8B" w:rsidP="00271D8B">
                  <w:pPr>
                    <w:pStyle w:val="TableParagraph"/>
                    <w:spacing w:before="113"/>
                    <w:ind w:left="175" w:right="166"/>
                    <w:jc w:val="center"/>
                    <w:rPr>
                      <w:rFonts w:ascii="Arial" w:hAnsi="Arial" w:cs="Arial"/>
                      <w:sz w:val="20"/>
                      <w:szCs w:val="20"/>
                    </w:rPr>
                  </w:pPr>
                  <w:r w:rsidRPr="00F00D94">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00D94" w:rsidRDefault="00271D8B" w:rsidP="00271D8B">
                  <w:pPr>
                    <w:pStyle w:val="TableParagraph"/>
                    <w:spacing w:before="113"/>
                    <w:ind w:left="360" w:right="347"/>
                    <w:jc w:val="center"/>
                    <w:rPr>
                      <w:rFonts w:ascii="Arial" w:hAnsi="Arial" w:cs="Arial"/>
                      <w:sz w:val="20"/>
                      <w:szCs w:val="20"/>
                    </w:rPr>
                  </w:pPr>
                  <w:r w:rsidRPr="00F00D94">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00D94" w:rsidRDefault="00271D8B" w:rsidP="00271D8B">
                  <w:pPr>
                    <w:pStyle w:val="TableParagraph"/>
                    <w:spacing w:before="113"/>
                    <w:ind w:left="285" w:right="278"/>
                    <w:jc w:val="center"/>
                    <w:rPr>
                      <w:rFonts w:ascii="Arial" w:hAnsi="Arial" w:cs="Arial"/>
                      <w:sz w:val="20"/>
                      <w:szCs w:val="20"/>
                    </w:rPr>
                  </w:pPr>
                  <w:r w:rsidRPr="00F00D94">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00D94" w:rsidRDefault="00271D8B" w:rsidP="00271D8B">
                  <w:pPr>
                    <w:pStyle w:val="TableParagraph"/>
                    <w:spacing w:before="113"/>
                    <w:ind w:left="305" w:right="297"/>
                    <w:jc w:val="center"/>
                    <w:rPr>
                      <w:rFonts w:ascii="Arial" w:hAnsi="Arial" w:cs="Arial"/>
                      <w:sz w:val="20"/>
                      <w:szCs w:val="20"/>
                    </w:rPr>
                  </w:pPr>
                  <w:r w:rsidRPr="00F00D94">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00D94" w:rsidRDefault="00271D8B" w:rsidP="00271D8B">
                  <w:pPr>
                    <w:pStyle w:val="TableParagraph"/>
                    <w:spacing w:before="113"/>
                    <w:ind w:left="889" w:right="886"/>
                    <w:jc w:val="center"/>
                    <w:rPr>
                      <w:rFonts w:ascii="Arial" w:hAnsi="Arial" w:cs="Arial"/>
                      <w:sz w:val="20"/>
                      <w:szCs w:val="20"/>
                    </w:rPr>
                  </w:pPr>
                  <w:r w:rsidRPr="00F00D94">
                    <w:rPr>
                      <w:rFonts w:ascii="Arial" w:hAnsi="Arial" w:cs="Arial"/>
                      <w:sz w:val="20"/>
                      <w:szCs w:val="20"/>
                    </w:rPr>
                    <w:t>$0</w:t>
                  </w:r>
                </w:p>
              </w:tc>
            </w:tr>
          </w:tbl>
          <w:p w14:paraId="653D3463" w14:textId="2DF44F00" w:rsidR="00271D8B"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sz w:val="20"/>
        </w:rPr>
      </w:pPr>
    </w:p>
    <w:p w14:paraId="1907DD52" w14:textId="77777777" w:rsidR="00AE0C10" w:rsidRPr="00F00D94" w:rsidRDefault="00AE0C10" w:rsidP="006672EA">
      <w:pPr>
        <w:pStyle w:val="Heading3"/>
        <w:jc w:val="both"/>
        <w:rPr>
          <w:rFonts w:cs="Arial"/>
          <w:b w:val="0"/>
          <w:szCs w:val="24"/>
        </w:rPr>
      </w:pPr>
      <w:bookmarkStart w:id="64" w:name="_Toc116458446"/>
      <w:r w:rsidRPr="00F00D94">
        <w:rPr>
          <w:rFonts w:cs="Arial"/>
        </w:rPr>
        <w:t>Audit Implications Summary</w:t>
      </w:r>
      <w:bookmarkEnd w:id="64"/>
    </w:p>
    <w:tbl>
      <w:tblPr>
        <w:tblStyle w:val="TableGrid"/>
        <w:tblW w:w="5000" w:type="pct"/>
        <w:tblLook w:val="04A0" w:firstRow="1" w:lastRow="0" w:firstColumn="1" w:lastColumn="0" w:noHBand="0" w:noVBand="1"/>
      </w:tblPr>
      <w:tblGrid>
        <w:gridCol w:w="9350"/>
      </w:tblGrid>
      <w:tr w:rsidR="00AE0C10" w:rsidRPr="00F00D94" w14:paraId="01816B35" w14:textId="77777777" w:rsidTr="00E0350C">
        <w:tc>
          <w:tcPr>
            <w:tcW w:w="5000" w:type="pct"/>
            <w:shd w:val="clear" w:color="auto" w:fill="548DD4" w:themeFill="text2" w:themeFillTint="99"/>
          </w:tcPr>
          <w:p w14:paraId="5DC24943" w14:textId="77777777" w:rsidR="00AE0C10" w:rsidRPr="00F00D94" w:rsidRDefault="00AE0C10"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E0C10" w:rsidRPr="00F00D94" w14:paraId="04E62AA9" w14:textId="77777777" w:rsidTr="00E0350C">
        <w:tc>
          <w:tcPr>
            <w:tcW w:w="5000" w:type="pct"/>
          </w:tcPr>
          <w:p w14:paraId="5CFA77E4" w14:textId="77777777" w:rsidR="00AE0C10" w:rsidRPr="00F00D94" w:rsidRDefault="00AE0C10" w:rsidP="00437268">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0FD6430B" w14:textId="77777777" w:rsidR="00AE0C10" w:rsidRPr="00F00D94" w:rsidRDefault="00AE0C10" w:rsidP="006672EA">
            <w:pPr>
              <w:widowControl w:val="0"/>
              <w:spacing w:after="240"/>
              <w:ind w:left="720"/>
              <w:jc w:val="both"/>
              <w:rPr>
                <w:rFonts w:ascii="Arial" w:hAnsi="Arial" w:cs="Arial"/>
                <w:b/>
                <w:sz w:val="20"/>
              </w:rPr>
            </w:pPr>
          </w:p>
          <w:p w14:paraId="29D6BA70" w14:textId="77777777" w:rsidR="00AE0C10" w:rsidRPr="00F00D94" w:rsidRDefault="00AE0C10" w:rsidP="00437268">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437268">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 xml:space="preserve">Effect on the Nature, Timing, and Extent of Compliance (Substantive Test) including </w:t>
            </w:r>
            <w:r w:rsidRPr="00F00D94">
              <w:rPr>
                <w:rFonts w:ascii="Arial" w:hAnsi="Arial" w:cs="Arial"/>
                <w:b/>
                <w:sz w:val="20"/>
              </w:rPr>
              <w:lastRenderedPageBreak/>
              <w:t>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437268">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437268">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0CFF4A72" w14:textId="77777777" w:rsidR="00476251" w:rsidRPr="00F00D94"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01"/>
          <w:pgSz w:w="12240" w:h="15840" w:code="1"/>
          <w:pgMar w:top="1440" w:right="1440" w:bottom="1440" w:left="1440" w:header="720" w:footer="720" w:gutter="0"/>
          <w:cols w:space="720"/>
          <w:noEndnote/>
        </w:sectPr>
      </w:pPr>
    </w:p>
    <w:p w14:paraId="4D2A975C" w14:textId="4B949ECC" w:rsidR="007E5B12" w:rsidRPr="00F00D94" w:rsidRDefault="007E5B12" w:rsidP="006672EA">
      <w:pPr>
        <w:pStyle w:val="Heading2"/>
        <w:jc w:val="both"/>
        <w:rPr>
          <w:rFonts w:cs="Arial"/>
        </w:rPr>
      </w:pPr>
      <w:bookmarkStart w:id="65" w:name="M___SUBRECIPIENT_MONITORING__"/>
      <w:bookmarkStart w:id="66" w:name="_Toc442267703"/>
      <w:bookmarkStart w:id="67" w:name="_Toc116458447"/>
      <w:bookmarkEnd w:id="65"/>
      <w:r w:rsidRPr="00751CA2">
        <w:rPr>
          <w:rFonts w:cs="Arial"/>
        </w:rPr>
        <w:lastRenderedPageBreak/>
        <w:t>N.  SPECIAL TESTS AND PROVISIONS</w:t>
      </w:r>
      <w:bookmarkEnd w:id="66"/>
      <w:r w:rsidR="00B10F8E" w:rsidRPr="00751CA2">
        <w:rPr>
          <w:rFonts w:cs="Arial"/>
        </w:rPr>
        <w:t xml:space="preserve"> – </w:t>
      </w:r>
      <w:r w:rsidR="00751CA2" w:rsidRPr="00751CA2">
        <w:rPr>
          <w:rFonts w:cs="Arial"/>
        </w:rPr>
        <w:t>ERA 1 F</w:t>
      </w:r>
      <w:r w:rsidR="00BD3538">
        <w:rPr>
          <w:rFonts w:cs="Arial"/>
        </w:rPr>
        <w:t>unds Redirection</w:t>
      </w:r>
      <w:bookmarkEnd w:id="67"/>
      <w:r w:rsidR="00B10F8E">
        <w:rPr>
          <w:rFonts w:cs="Arial"/>
        </w:rPr>
        <w:t xml:space="preserve"> </w:t>
      </w:r>
    </w:p>
    <w:p w14:paraId="75FD95EF" w14:textId="77777777" w:rsidR="007E5B12" w:rsidRPr="00F00D94" w:rsidRDefault="00D15062" w:rsidP="006672EA">
      <w:pPr>
        <w:pStyle w:val="Heading3"/>
        <w:jc w:val="both"/>
        <w:rPr>
          <w:rFonts w:cs="Arial"/>
        </w:rPr>
      </w:pPr>
      <w:bookmarkStart w:id="68" w:name="_Toc116458448"/>
      <w:r w:rsidRPr="00F00D94">
        <w:rPr>
          <w:rFonts w:cs="Arial"/>
        </w:rPr>
        <w:t xml:space="preserve">OMB </w:t>
      </w:r>
      <w:r w:rsidR="007E5B12" w:rsidRPr="00F00D94">
        <w:rPr>
          <w:rFonts w:cs="Arial"/>
        </w:rPr>
        <w:t>Compliance Requirements</w:t>
      </w:r>
      <w:bookmarkEnd w:id="68"/>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w:t>
      </w:r>
      <w:r w:rsidR="00740DC3" w:rsidRPr="00F00D94">
        <w:rPr>
          <w:rFonts w:ascii="Arial" w:hAnsi="Arial" w:cs="Arial"/>
          <w:sz w:val="20"/>
        </w:rPr>
        <w:t>rogram and are found in the statutes</w:t>
      </w:r>
      <w:r w:rsidRPr="00F00D94">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sz w:val="20"/>
        </w:rPr>
        <w:t xml:space="preserve"> and Provisions are in Part 4, “</w:t>
      </w:r>
      <w:r w:rsidRPr="00F00D94">
        <w:rPr>
          <w:rFonts w:ascii="Arial" w:hAnsi="Arial" w:cs="Arial"/>
          <w:sz w:val="20"/>
        </w:rPr>
        <w:t>Agency Program Requirements</w:t>
      </w:r>
      <w:r w:rsidR="00923F3E" w:rsidRPr="00F00D94">
        <w:rPr>
          <w:rFonts w:ascii="Arial" w:hAnsi="Arial" w:cs="Arial"/>
          <w:sz w:val="20"/>
        </w:rPr>
        <w:t>.” or Part 5. “</w:t>
      </w:r>
      <w:r w:rsidRPr="00F00D94">
        <w:rPr>
          <w:rFonts w:ascii="Arial" w:hAnsi="Arial" w:cs="Arial"/>
          <w:sz w:val="20"/>
        </w:rPr>
        <w:t>Clusters of Programs.</w:t>
      </w:r>
      <w:r w:rsidR="00923F3E" w:rsidRPr="00F00D94">
        <w:rPr>
          <w:rFonts w:ascii="Arial" w:hAnsi="Arial" w:cs="Arial"/>
          <w:sz w:val="20"/>
        </w:rPr>
        <w:t>”  For programs not included</w:t>
      </w:r>
      <w:r w:rsidRPr="00F00D94">
        <w:rPr>
          <w:rFonts w:ascii="Arial" w:hAnsi="Arial" w:cs="Arial"/>
          <w:sz w:val="20"/>
        </w:rPr>
        <w:t xml:space="preserve"> in this Supplement, the auditor </w:t>
      </w:r>
      <w:r w:rsidR="00FC4DA6" w:rsidRPr="00F00D94">
        <w:rPr>
          <w:rFonts w:ascii="Arial" w:hAnsi="Arial" w:cs="Arial"/>
          <w:sz w:val="20"/>
        </w:rPr>
        <w:t xml:space="preserve">must </w:t>
      </w:r>
      <w:r w:rsidRPr="00F00D94">
        <w:rPr>
          <w:rFonts w:ascii="Arial" w:hAnsi="Arial" w:cs="Arial"/>
          <w:sz w:val="20"/>
        </w:rPr>
        <w:t>review the program’s contract and gra</w:t>
      </w:r>
      <w:r w:rsidR="00740DC3" w:rsidRPr="00F00D94">
        <w:rPr>
          <w:rFonts w:ascii="Arial" w:hAnsi="Arial" w:cs="Arial"/>
          <w:sz w:val="20"/>
        </w:rPr>
        <w:t>nt agreements and referenced statutes</w:t>
      </w:r>
      <w:r w:rsidRPr="00F00D94">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Additionally, both </w:t>
      </w:r>
      <w:r w:rsidR="00740DC3" w:rsidRPr="00F00D94">
        <w:rPr>
          <w:rFonts w:ascii="Arial" w:hAnsi="Arial" w:cs="Arial"/>
          <w:sz w:val="20"/>
        </w:rPr>
        <w:t xml:space="preserve">for </w:t>
      </w:r>
      <w:r w:rsidRPr="00F00D94">
        <w:rPr>
          <w:rFonts w:ascii="Arial" w:hAnsi="Arial" w:cs="Arial"/>
          <w:sz w:val="20"/>
        </w:rPr>
        <w:t xml:space="preserve">programs included and not included in this Supplement, the auditor </w:t>
      </w:r>
      <w:r w:rsidR="00FC4DA6" w:rsidRPr="00F00D94">
        <w:rPr>
          <w:rFonts w:ascii="Arial" w:hAnsi="Arial" w:cs="Arial"/>
          <w:sz w:val="20"/>
        </w:rPr>
        <w:t xml:space="preserve">must </w:t>
      </w:r>
      <w:r w:rsidRPr="00F00D94">
        <w:rPr>
          <w:rFonts w:ascii="Arial" w:hAnsi="Arial" w:cs="Arial"/>
          <w:sz w:val="20"/>
        </w:rPr>
        <w:t>identify any additional compliance require</w:t>
      </w:r>
      <w:r w:rsidR="00740DC3" w:rsidRPr="00F00D94">
        <w:rPr>
          <w:rFonts w:ascii="Arial" w:hAnsi="Arial" w:cs="Arial"/>
          <w:sz w:val="20"/>
        </w:rPr>
        <w:t>ments which are not based in statute</w:t>
      </w:r>
      <w:r w:rsidRPr="00F00D94">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sz w:val="20"/>
        </w:rPr>
        <w:t xml:space="preserve">effect </w:t>
      </w:r>
      <w:r w:rsidRPr="00F00D94">
        <w:rPr>
          <w:rFonts w:ascii="Arial" w:hAnsi="Arial" w:cs="Arial"/>
          <w:sz w:val="20"/>
        </w:rPr>
        <w:t xml:space="preserve">on </w:t>
      </w:r>
      <w:r w:rsidR="00F15CFA" w:rsidRPr="00F00D94">
        <w:rPr>
          <w:rFonts w:ascii="Arial" w:hAnsi="Arial" w:cs="Arial"/>
          <w:sz w:val="20"/>
        </w:rPr>
        <w:t>compliance with the requirements of that</w:t>
      </w:r>
      <w:r w:rsidRPr="00F00D94">
        <w:rPr>
          <w:rFonts w:ascii="Arial" w:hAnsi="Arial" w:cs="Arial"/>
          <w:sz w:val="20"/>
        </w:rPr>
        <w:t xml:space="preserve"> major program shall be included in the audit.</w:t>
      </w:r>
    </w:p>
    <w:p w14:paraId="7636CAB9" w14:textId="5BCA2C76" w:rsidR="000054C5"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2F0C04C8" w14:textId="774B9E40"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65701134" w14:textId="670759DA" w:rsidR="00950585" w:rsidRDefault="00950585" w:rsidP="00950585">
      <w:pPr>
        <w:spacing w:after="240"/>
        <w:jc w:val="both"/>
        <w:rPr>
          <w:rFonts w:ascii="Arial" w:hAnsi="Arial" w:cs="Arial"/>
          <w:color w:val="231F20"/>
          <w:sz w:val="20"/>
        </w:rPr>
      </w:pPr>
      <w:r w:rsidRPr="00950585">
        <w:rPr>
          <w:rFonts w:ascii="Arial" w:hAnsi="Arial" w:cs="Arial"/>
          <w:color w:val="231F20"/>
          <w:sz w:val="20"/>
        </w:rPr>
        <w:t>Where applicable to a grantee, auditors should confirm: 1)</w:t>
      </w:r>
      <w:r>
        <w:rPr>
          <w:rFonts w:ascii="Arial" w:hAnsi="Arial" w:cs="Arial"/>
          <w:color w:val="231F20"/>
          <w:sz w:val="20"/>
        </w:rPr>
        <w:t xml:space="preserve"> </w:t>
      </w:r>
      <w:r w:rsidRPr="00950585">
        <w:rPr>
          <w:rFonts w:ascii="Arial" w:hAnsi="Arial" w:cs="Arial"/>
          <w:color w:val="231F20"/>
          <w:sz w:val="20"/>
        </w:rPr>
        <w:t>that all voluntarily redirected ERA 1 award funds were approved by the grantee’s</w:t>
      </w:r>
      <w:r>
        <w:rPr>
          <w:rFonts w:ascii="Arial" w:hAnsi="Arial" w:cs="Arial"/>
          <w:color w:val="231F20"/>
          <w:sz w:val="20"/>
        </w:rPr>
        <w:t xml:space="preserve"> </w:t>
      </w:r>
      <w:r w:rsidRPr="00950585">
        <w:rPr>
          <w:rFonts w:ascii="Arial" w:hAnsi="Arial" w:cs="Arial"/>
          <w:color w:val="231F20"/>
          <w:sz w:val="20"/>
        </w:rPr>
        <w:t>authorizing official in accordance with Treasury guidance; 2) all redirected ERA 1 award</w:t>
      </w:r>
      <w:r>
        <w:rPr>
          <w:rFonts w:ascii="Arial" w:hAnsi="Arial" w:cs="Arial"/>
          <w:color w:val="231F20"/>
          <w:sz w:val="20"/>
        </w:rPr>
        <w:t xml:space="preserve"> </w:t>
      </w:r>
      <w:r w:rsidRPr="00950585">
        <w:rPr>
          <w:rFonts w:ascii="Arial" w:hAnsi="Arial" w:cs="Arial"/>
          <w:color w:val="231F20"/>
          <w:sz w:val="20"/>
        </w:rPr>
        <w:t>funds were deposited to the official, authorized bank account of the receiving grantee, as</w:t>
      </w:r>
      <w:r>
        <w:rPr>
          <w:rFonts w:ascii="Arial" w:hAnsi="Arial" w:cs="Arial"/>
          <w:color w:val="231F20"/>
          <w:sz w:val="20"/>
        </w:rPr>
        <w:t xml:space="preserve"> </w:t>
      </w:r>
      <w:r w:rsidRPr="00950585">
        <w:rPr>
          <w:rFonts w:ascii="Arial" w:hAnsi="Arial" w:cs="Arial"/>
          <w:color w:val="231F20"/>
          <w:sz w:val="20"/>
        </w:rPr>
        <w:t>approved by Treasury; and 3) all ERA 1 award funds received through the redirection</w:t>
      </w:r>
      <w:r>
        <w:rPr>
          <w:rFonts w:ascii="Arial" w:hAnsi="Arial" w:cs="Arial"/>
          <w:color w:val="231F20"/>
          <w:sz w:val="20"/>
        </w:rPr>
        <w:t xml:space="preserve"> </w:t>
      </w:r>
      <w:r w:rsidRPr="00950585">
        <w:rPr>
          <w:rFonts w:ascii="Arial" w:hAnsi="Arial" w:cs="Arial"/>
          <w:color w:val="231F20"/>
          <w:sz w:val="20"/>
        </w:rPr>
        <w:t>process are used in accordance with the ERA 1 Award Terms.</w:t>
      </w:r>
    </w:p>
    <w:p w14:paraId="154C1036" w14:textId="2E43430D" w:rsidR="00166038" w:rsidRPr="00166038" w:rsidRDefault="00166038" w:rsidP="00950585">
      <w:pPr>
        <w:pStyle w:val="BodyText"/>
        <w:ind w:right="-30"/>
        <w:jc w:val="both"/>
        <w:rPr>
          <w:rFonts w:ascii="Arial" w:hAnsi="Arial" w:cs="Arial"/>
          <w:sz w:val="20"/>
          <w:szCs w:val="20"/>
        </w:rPr>
      </w:pPr>
      <w:r w:rsidRPr="00166038">
        <w:rPr>
          <w:rFonts w:ascii="Arial" w:hAnsi="Arial" w:cs="Arial"/>
          <w:color w:val="231F20"/>
          <w:sz w:val="20"/>
          <w:szCs w:val="20"/>
        </w:rPr>
        <w:t>Pursuant to section 501(b)(1)(A) of the Consolidated Appropriations Act, 2021 and Treasury’s implementing instructions to requesting grantees, grantees are permitted to redirect ERA 1 funds when a locality receives an ERA 1 award and subsequently transfers 100 percent of the ERA 1 award funds received from Treasury to its eligible state and Treasury approves the transaction. The redirection of award funds is finalized when the locality has submitted the relevant redirection documentation to Treasury and Treasury has provided confirmation of acceptance. At that time, the locality’s ERA 1 award is cancelled, and the locality has no further legal obligation to Treasury under the ERA 1 award. The state’s ERA 1 award is modified by the amount of the funds transferred from the local government to the state and the state is responsible as the grantee for reporting on the use of the transferred award funds that become subject to the requirements set forth in the Award Terms previously accepted by the state in connection with its ERA 1 award. A local government that has redirected 100 percent of its ERA 1 award funds to its state but has not submitted the relevant redirection documentation to Treasury or is still awaiting confirmation of acceptance of submitted documentation by Treasury, is still responsible for complying with the ERA 1 Award Terms, including submitting Monthly and Quarterly reports until their redirection forms were submitted and accepted by Treasury.</w:t>
      </w:r>
    </w:p>
    <w:p w14:paraId="233FB1E5" w14:textId="1F9CCFC7" w:rsidR="00166038" w:rsidRPr="00166038" w:rsidRDefault="00166038" w:rsidP="00950585">
      <w:pPr>
        <w:spacing w:after="240"/>
        <w:jc w:val="both"/>
      </w:pPr>
      <w:r w:rsidRPr="00BC7F42">
        <w:rPr>
          <w:rFonts w:ascii="Arial" w:hAnsi="Arial" w:cs="Arial"/>
          <w:bCs/>
          <w:i/>
          <w:sz w:val="20"/>
        </w:rPr>
        <w:t xml:space="preserve">(Source: </w:t>
      </w:r>
      <w:r>
        <w:rPr>
          <w:rFonts w:ascii="Arial" w:hAnsi="Arial" w:cs="Arial"/>
          <w:bCs/>
          <w:i/>
          <w:sz w:val="20"/>
        </w:rPr>
        <w:t>2022 OMB Compliance Supplement, Part 4, Treasury, Emergency Rental Assistance Program)</w:t>
      </w:r>
    </w:p>
    <w:p w14:paraId="1FDB8C35" w14:textId="77777777" w:rsidR="00670F5F" w:rsidRPr="00F00D94" w:rsidRDefault="00670F5F" w:rsidP="006672EA">
      <w:pPr>
        <w:pStyle w:val="Heading3"/>
        <w:jc w:val="both"/>
        <w:rPr>
          <w:rFonts w:cs="Arial"/>
        </w:rPr>
      </w:pPr>
      <w:bookmarkStart w:id="69" w:name="_Toc116458449"/>
      <w:r w:rsidRPr="00F00D94">
        <w:rPr>
          <w:rFonts w:cs="Arial"/>
        </w:rPr>
        <w:lastRenderedPageBreak/>
        <w:t>Additional Program Specific Information</w:t>
      </w:r>
      <w:bookmarkEnd w:id="69"/>
    </w:p>
    <w:p w14:paraId="136C2D31" w14:textId="0EDC64F8" w:rsidR="008D2632" w:rsidRPr="00F00D94"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Special Tests and Provisions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19BF99C3" w14:textId="77777777" w:rsidR="007E5B12" w:rsidRPr="00F00D94" w:rsidRDefault="00197FAC" w:rsidP="006672EA">
      <w:pPr>
        <w:pStyle w:val="Heading3"/>
        <w:jc w:val="both"/>
        <w:rPr>
          <w:rFonts w:cs="Arial"/>
        </w:rPr>
      </w:pPr>
      <w:bookmarkStart w:id="70" w:name="_Toc116458450"/>
      <w:r w:rsidRPr="00F00D94">
        <w:rPr>
          <w:rFonts w:cs="Arial"/>
        </w:rPr>
        <w:t xml:space="preserve">Audit </w:t>
      </w:r>
      <w:r w:rsidR="00972081" w:rsidRPr="00F00D94">
        <w:rPr>
          <w:rFonts w:cs="Arial"/>
        </w:rPr>
        <w:t>Objectives and</w:t>
      </w:r>
      <w:r w:rsidRPr="00F00D94">
        <w:rPr>
          <w:rFonts w:cs="Arial"/>
        </w:rPr>
        <w:t xml:space="preserve"> Control Testing</w:t>
      </w:r>
      <w:bookmarkEnd w:id="70"/>
    </w:p>
    <w:p w14:paraId="199E8B1F" w14:textId="312BBC99"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24BE85E" w14:textId="381A4726" w:rsidR="000E5EED" w:rsidRPr="00F00D94" w:rsidRDefault="00B013E4" w:rsidP="00437268">
      <w:pPr>
        <w:pStyle w:val="BodyText"/>
        <w:widowControl w:val="0"/>
        <w:numPr>
          <w:ilvl w:val="0"/>
          <w:numId w:val="36"/>
        </w:numPr>
        <w:autoSpaceDE w:val="0"/>
        <w:autoSpaceDN w:val="0"/>
        <w:spacing w:after="0"/>
        <w:rPr>
          <w:rFonts w:ascii="Arial" w:hAnsi="Arial" w:cs="Arial"/>
          <w:sz w:val="20"/>
          <w:szCs w:val="20"/>
        </w:rPr>
      </w:pPr>
      <w:hyperlink r:id="rId102"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651E629F" w14:textId="1E236305" w:rsidR="000E5EED" w:rsidRPr="00F00D94" w:rsidRDefault="00B013E4" w:rsidP="00437268">
      <w:pPr>
        <w:pStyle w:val="BodyText"/>
        <w:widowControl w:val="0"/>
        <w:numPr>
          <w:ilvl w:val="0"/>
          <w:numId w:val="36"/>
        </w:numPr>
        <w:autoSpaceDE w:val="0"/>
        <w:autoSpaceDN w:val="0"/>
        <w:spacing w:after="0"/>
        <w:rPr>
          <w:rFonts w:ascii="Arial" w:hAnsi="Arial" w:cs="Arial"/>
          <w:sz w:val="20"/>
          <w:szCs w:val="20"/>
        </w:rPr>
      </w:pPr>
      <w:hyperlink r:id="rId103" w:history="1">
        <w:r w:rsidR="000E5EED" w:rsidRPr="00F00D94">
          <w:rPr>
            <w:rStyle w:val="Hyperlink"/>
            <w:rFonts w:ascii="Arial" w:hAnsi="Arial" w:cs="Arial"/>
            <w:sz w:val="20"/>
            <w:szCs w:val="20"/>
          </w:rPr>
          <w:t>2013 COSO</w:t>
        </w:r>
      </w:hyperlink>
    </w:p>
    <w:p w14:paraId="59BA4CFF" w14:textId="4E9A7DD9" w:rsidR="000E5EED" w:rsidRPr="00F00D94" w:rsidRDefault="00B013E4" w:rsidP="00437268">
      <w:pPr>
        <w:pStyle w:val="BodyText"/>
        <w:widowControl w:val="0"/>
        <w:numPr>
          <w:ilvl w:val="0"/>
          <w:numId w:val="36"/>
        </w:numPr>
        <w:autoSpaceDE w:val="0"/>
        <w:autoSpaceDN w:val="0"/>
        <w:rPr>
          <w:rStyle w:val="Hyperlink"/>
          <w:rFonts w:ascii="Arial" w:hAnsi="Arial" w:cs="Arial"/>
          <w:color w:val="auto"/>
          <w:sz w:val="20"/>
          <w:szCs w:val="20"/>
          <w:u w:val="none"/>
        </w:rPr>
      </w:pPr>
      <w:hyperlink r:id="rId104" w:history="1">
        <w:r w:rsidR="000E5EED" w:rsidRPr="00F00D94">
          <w:rPr>
            <w:rStyle w:val="Hyperlink"/>
            <w:rFonts w:ascii="Arial" w:hAnsi="Arial" w:cs="Arial"/>
            <w:sz w:val="20"/>
            <w:szCs w:val="20"/>
          </w:rPr>
          <w:t>GAO’s 2014 Green Book</w:t>
        </w:r>
      </w:hyperlink>
    </w:p>
    <w:p w14:paraId="5B28A74E"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1A73EEA"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4825803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450C77F0" w:rsidR="00B307F9" w:rsidRPr="00F00D94"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Pr="00F00D94">
        <w:rPr>
          <w:rFonts w:ascii="Arial" w:hAnsi="Arial" w:cs="Arial"/>
          <w:i/>
          <w:sz w:val="20"/>
        </w:rPr>
        <w:t>OMB Compliance Supplement Part 3)</w:t>
      </w:r>
    </w:p>
    <w:tbl>
      <w:tblPr>
        <w:tblStyle w:val="TableGrid"/>
        <w:tblW w:w="5000" w:type="pct"/>
        <w:tblLook w:val="04A0" w:firstRow="1" w:lastRow="0" w:firstColumn="1" w:lastColumn="0" w:noHBand="0" w:noVBand="1"/>
      </w:tblPr>
      <w:tblGrid>
        <w:gridCol w:w="9350"/>
      </w:tblGrid>
      <w:tr w:rsidR="004B71BD" w:rsidRPr="00F00D94" w14:paraId="45D38F42" w14:textId="77777777" w:rsidTr="00E0350C">
        <w:tc>
          <w:tcPr>
            <w:tcW w:w="5000" w:type="pct"/>
            <w:shd w:val="clear" w:color="auto" w:fill="548DD4" w:themeFill="text2" w:themeFillTint="99"/>
          </w:tcPr>
          <w:p w14:paraId="4BA9A2B3"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7E17897B" w14:textId="77777777" w:rsidTr="00E0350C">
        <w:tc>
          <w:tcPr>
            <w:tcW w:w="5000" w:type="pct"/>
          </w:tcPr>
          <w:p w14:paraId="602BB5D6"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7EBAAF0" w14:textId="77777777" w:rsidR="004B71BD" w:rsidRPr="00F00D94" w:rsidRDefault="004B71BD" w:rsidP="006672EA">
            <w:pPr>
              <w:pStyle w:val="AuditProcedureHeading"/>
              <w:spacing w:after="240"/>
              <w:jc w:val="both"/>
              <w:rPr>
                <w:rFonts w:cs="Arial"/>
                <w:b/>
                <w:bCs/>
                <w:szCs w:val="20"/>
                <w:u w:val="single"/>
              </w:rPr>
            </w:pPr>
          </w:p>
          <w:p w14:paraId="770964A5"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E66F545" w14:textId="77777777" w:rsidR="004B71BD" w:rsidRPr="00F00D94" w:rsidRDefault="004B71BD" w:rsidP="006672EA">
            <w:pPr>
              <w:pStyle w:val="AuditProcedureHeading"/>
              <w:spacing w:after="240"/>
              <w:jc w:val="both"/>
              <w:rPr>
                <w:rFonts w:cs="Arial"/>
                <w:b/>
                <w:bCs/>
                <w:szCs w:val="20"/>
                <w:u w:val="single"/>
              </w:rPr>
            </w:pPr>
          </w:p>
          <w:p w14:paraId="0EDC1E21"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D7C8519" w14:textId="77777777" w:rsidR="004B71BD" w:rsidRPr="00F00D94" w:rsidRDefault="004B71BD" w:rsidP="006672EA">
            <w:pPr>
              <w:spacing w:after="240"/>
              <w:jc w:val="both"/>
              <w:rPr>
                <w:rFonts w:ascii="Arial" w:hAnsi="Arial" w:cs="Arial"/>
                <w:b/>
                <w:sz w:val="20"/>
                <w:u w:val="single"/>
              </w:rPr>
            </w:pPr>
          </w:p>
          <w:p w14:paraId="1D0AD0E6"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77777777" w:rsidR="007E5B12" w:rsidRPr="00F00D94" w:rsidRDefault="007E5B12" w:rsidP="006672EA">
      <w:pPr>
        <w:pStyle w:val="Heading3"/>
        <w:jc w:val="both"/>
        <w:rPr>
          <w:rFonts w:cs="Arial"/>
        </w:rPr>
      </w:pPr>
      <w:bookmarkStart w:id="71" w:name="_Toc116458451"/>
      <w:r w:rsidRPr="00F00D94">
        <w:rPr>
          <w:rFonts w:cs="Arial"/>
        </w:rPr>
        <w:lastRenderedPageBreak/>
        <w:t>Suggested Audit Procedures</w:t>
      </w:r>
      <w:bookmarkEnd w:id="71"/>
    </w:p>
    <w:tbl>
      <w:tblPr>
        <w:tblStyle w:val="TableGrid"/>
        <w:tblW w:w="0" w:type="auto"/>
        <w:tblLayout w:type="fixed"/>
        <w:tblLook w:val="04A0" w:firstRow="1" w:lastRow="0" w:firstColumn="1" w:lastColumn="0" w:noHBand="0" w:noVBand="1"/>
      </w:tblPr>
      <w:tblGrid>
        <w:gridCol w:w="9558"/>
      </w:tblGrid>
      <w:tr w:rsidR="004B71BD" w:rsidRPr="00F00D94" w14:paraId="15AD3051" w14:textId="77777777" w:rsidTr="004B71BD">
        <w:tc>
          <w:tcPr>
            <w:tcW w:w="9558" w:type="dxa"/>
            <w:shd w:val="clear" w:color="auto" w:fill="548DD4" w:themeFill="text2" w:themeFillTint="99"/>
          </w:tcPr>
          <w:p w14:paraId="3F0CA05B"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62709FBE"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53D9E3CC" w14:textId="77777777" w:rsidTr="004B71BD">
        <w:tc>
          <w:tcPr>
            <w:tcW w:w="9558" w:type="dxa"/>
          </w:tcPr>
          <w:p w14:paraId="3023434E" w14:textId="77777777" w:rsidR="004B71BD" w:rsidRPr="00F00D94" w:rsidRDefault="005D0AC2" w:rsidP="006672EA">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7C580C60" w14:textId="77777777" w:rsidTr="004B71BD">
        <w:tc>
          <w:tcPr>
            <w:tcW w:w="9558" w:type="dxa"/>
          </w:tcPr>
          <w:p w14:paraId="74085E8E" w14:textId="77777777" w:rsidR="00B055D4" w:rsidRPr="00B055D4" w:rsidRDefault="00B055D4" w:rsidP="00B055D4">
            <w:pPr>
              <w:pStyle w:val="BodyText"/>
              <w:numPr>
                <w:ilvl w:val="0"/>
                <w:numId w:val="54"/>
              </w:numPr>
              <w:ind w:right="-30"/>
              <w:jc w:val="both"/>
              <w:rPr>
                <w:rFonts w:ascii="Arial" w:hAnsi="Arial" w:cs="Arial"/>
                <w:sz w:val="20"/>
                <w:szCs w:val="20"/>
              </w:rPr>
            </w:pPr>
            <w:r w:rsidRPr="00B055D4">
              <w:rPr>
                <w:rFonts w:ascii="Arial" w:hAnsi="Arial" w:cs="Arial"/>
                <w:color w:val="231F20"/>
                <w:sz w:val="20"/>
                <w:szCs w:val="20"/>
              </w:rPr>
              <w:t>C</w:t>
            </w:r>
            <w:r w:rsidR="00751CA2" w:rsidRPr="00B055D4">
              <w:rPr>
                <w:rFonts w:ascii="Arial" w:hAnsi="Arial" w:cs="Arial"/>
                <w:color w:val="231F20"/>
                <w:sz w:val="20"/>
                <w:szCs w:val="20"/>
              </w:rPr>
              <w:t>onfirm</w:t>
            </w:r>
            <w:r w:rsidRPr="00B055D4">
              <w:rPr>
                <w:rFonts w:ascii="Arial" w:hAnsi="Arial" w:cs="Arial"/>
                <w:color w:val="231F20"/>
                <w:sz w:val="20"/>
                <w:szCs w:val="20"/>
              </w:rPr>
              <w:t xml:space="preserve"> that all voluntarily redirected ERA 1 award funds </w:t>
            </w:r>
            <w:r w:rsidR="00751CA2" w:rsidRPr="00B055D4">
              <w:rPr>
                <w:rFonts w:ascii="Arial" w:hAnsi="Arial" w:cs="Arial"/>
                <w:color w:val="231F20"/>
                <w:sz w:val="20"/>
                <w:szCs w:val="20"/>
              </w:rPr>
              <w:t>were approved by the grantee’s authorizing official in accordance with Treasury guidance</w:t>
            </w:r>
          </w:p>
          <w:p w14:paraId="2926011F" w14:textId="77777777" w:rsidR="00B055D4" w:rsidRPr="00B055D4" w:rsidRDefault="00B055D4" w:rsidP="00B055D4">
            <w:pPr>
              <w:pStyle w:val="BodyText"/>
              <w:numPr>
                <w:ilvl w:val="0"/>
                <w:numId w:val="54"/>
              </w:numPr>
              <w:ind w:right="-30"/>
              <w:jc w:val="both"/>
              <w:rPr>
                <w:rFonts w:ascii="Arial" w:hAnsi="Arial" w:cs="Arial"/>
                <w:sz w:val="20"/>
                <w:szCs w:val="20"/>
              </w:rPr>
            </w:pPr>
            <w:r w:rsidRPr="00B055D4">
              <w:rPr>
                <w:rFonts w:ascii="Arial" w:hAnsi="Arial" w:cs="Arial"/>
                <w:color w:val="231F20"/>
                <w:sz w:val="20"/>
                <w:szCs w:val="20"/>
              </w:rPr>
              <w:t xml:space="preserve">Confirm </w:t>
            </w:r>
            <w:r w:rsidR="00751CA2" w:rsidRPr="00B055D4">
              <w:rPr>
                <w:rFonts w:ascii="Arial" w:hAnsi="Arial" w:cs="Arial"/>
                <w:color w:val="231F20"/>
                <w:sz w:val="20"/>
                <w:szCs w:val="20"/>
              </w:rPr>
              <w:t>all redirected ERA 1 award funds were deposited to the official, authorized bank account of the receiving grantee, as approved by Treasury</w:t>
            </w:r>
          </w:p>
          <w:p w14:paraId="6904E87E" w14:textId="7EDAABFC" w:rsidR="004B71BD" w:rsidRPr="00B055D4" w:rsidRDefault="00B055D4" w:rsidP="006672EA">
            <w:pPr>
              <w:pStyle w:val="BodyText"/>
              <w:numPr>
                <w:ilvl w:val="0"/>
                <w:numId w:val="54"/>
              </w:numPr>
              <w:ind w:right="-30"/>
              <w:jc w:val="both"/>
              <w:rPr>
                <w:rFonts w:ascii="Arial" w:hAnsi="Arial" w:cs="Arial"/>
                <w:sz w:val="20"/>
                <w:szCs w:val="20"/>
              </w:rPr>
            </w:pPr>
            <w:r w:rsidRPr="00B055D4">
              <w:rPr>
                <w:rFonts w:ascii="Arial" w:hAnsi="Arial" w:cs="Arial"/>
                <w:color w:val="231F20"/>
                <w:sz w:val="20"/>
                <w:szCs w:val="20"/>
              </w:rPr>
              <w:t>Confirm</w:t>
            </w:r>
            <w:r w:rsidR="00751CA2" w:rsidRPr="00B055D4">
              <w:rPr>
                <w:rFonts w:ascii="Arial" w:hAnsi="Arial" w:cs="Arial"/>
                <w:color w:val="231F20"/>
                <w:sz w:val="20"/>
                <w:szCs w:val="20"/>
              </w:rPr>
              <w:t xml:space="preserve"> all ERA 1 award funds received through the redirection process are used in accordance with the ERA 1 Award Terms.</w:t>
            </w: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F00D94" w:rsidRDefault="0038229E" w:rsidP="006672EA">
      <w:pPr>
        <w:pStyle w:val="Heading3"/>
        <w:jc w:val="both"/>
        <w:rPr>
          <w:rFonts w:cs="Arial"/>
          <w:b w:val="0"/>
          <w:szCs w:val="24"/>
        </w:rPr>
      </w:pPr>
      <w:bookmarkStart w:id="72" w:name="_Toc116458452"/>
      <w:r w:rsidRPr="00F00D94">
        <w:rPr>
          <w:rFonts w:cs="Arial"/>
        </w:rPr>
        <w:t>Audit Implications Summary</w:t>
      </w:r>
      <w:bookmarkEnd w:id="72"/>
    </w:p>
    <w:tbl>
      <w:tblPr>
        <w:tblStyle w:val="TableGrid"/>
        <w:tblW w:w="5000" w:type="pct"/>
        <w:tblLook w:val="04A0" w:firstRow="1" w:lastRow="0" w:firstColumn="1" w:lastColumn="0" w:noHBand="0" w:noVBand="1"/>
      </w:tblPr>
      <w:tblGrid>
        <w:gridCol w:w="9350"/>
      </w:tblGrid>
      <w:tr w:rsidR="0038229E" w:rsidRPr="00F00D94" w14:paraId="093D7D9D" w14:textId="77777777" w:rsidTr="00E0350C">
        <w:tc>
          <w:tcPr>
            <w:tcW w:w="5000" w:type="pct"/>
            <w:shd w:val="clear" w:color="auto" w:fill="548DD4" w:themeFill="text2" w:themeFillTint="99"/>
          </w:tcPr>
          <w:p w14:paraId="7D8C44EF" w14:textId="77777777" w:rsidR="0038229E" w:rsidRPr="00F00D94" w:rsidRDefault="0038229E"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8229E" w:rsidRPr="00F00D94" w14:paraId="6D1CEFF3" w14:textId="77777777" w:rsidTr="00E0350C">
        <w:tc>
          <w:tcPr>
            <w:tcW w:w="5000" w:type="pct"/>
          </w:tcPr>
          <w:p w14:paraId="17089C05" w14:textId="77777777" w:rsidR="0038229E" w:rsidRPr="00F00D94" w:rsidRDefault="0038229E" w:rsidP="00437268">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40563732" w14:textId="77777777" w:rsidR="0038229E" w:rsidRPr="00F00D94" w:rsidRDefault="0038229E" w:rsidP="006672EA">
            <w:pPr>
              <w:widowControl w:val="0"/>
              <w:spacing w:after="240"/>
              <w:ind w:left="720"/>
              <w:jc w:val="both"/>
              <w:rPr>
                <w:rFonts w:ascii="Arial" w:hAnsi="Arial" w:cs="Arial"/>
                <w:b/>
                <w:sz w:val="20"/>
              </w:rPr>
            </w:pPr>
          </w:p>
          <w:p w14:paraId="469048AA" w14:textId="77777777" w:rsidR="0038229E" w:rsidRPr="00F00D94" w:rsidRDefault="0038229E" w:rsidP="00437268">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437268">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437268">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437268">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6F96B9AF" w14:textId="77777777" w:rsidR="00B10F8E" w:rsidRDefault="00B10F8E"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B10F8E" w:rsidSect="00257772">
          <w:headerReference w:type="default" r:id="rId105"/>
          <w:pgSz w:w="12240" w:h="15840" w:code="1"/>
          <w:pgMar w:top="1440" w:right="1440" w:bottom="1440" w:left="1440" w:header="720" w:footer="720" w:gutter="0"/>
          <w:cols w:space="720"/>
          <w:docGrid w:linePitch="360"/>
        </w:sectPr>
      </w:pPr>
    </w:p>
    <w:p w14:paraId="754E9147" w14:textId="229BA705" w:rsidR="00B10F8E" w:rsidRPr="00B10F8E" w:rsidRDefault="00B10F8E" w:rsidP="00B10F8E">
      <w:pPr>
        <w:pStyle w:val="Heading2"/>
        <w:jc w:val="both"/>
        <w:rPr>
          <w:rFonts w:cs="Arial"/>
          <w:b w:val="0"/>
        </w:rPr>
      </w:pPr>
      <w:bookmarkStart w:id="73" w:name="_Toc116458453"/>
      <w:r w:rsidRPr="00F00D94">
        <w:rPr>
          <w:rFonts w:cs="Arial"/>
        </w:rPr>
        <w:lastRenderedPageBreak/>
        <w:t>N.  SPECIAL TESTS AND PROVISIONS</w:t>
      </w:r>
      <w:r>
        <w:rPr>
          <w:rFonts w:cs="Arial"/>
        </w:rPr>
        <w:t xml:space="preserve"> –</w:t>
      </w:r>
      <w:r w:rsidR="00751CA2">
        <w:rPr>
          <w:rFonts w:cs="Arial"/>
        </w:rPr>
        <w:t xml:space="preserve"> ERA Funds Reallocation</w:t>
      </w:r>
      <w:bookmarkEnd w:id="73"/>
    </w:p>
    <w:p w14:paraId="622844C8" w14:textId="77777777" w:rsidR="00B10F8E" w:rsidRPr="00F00D94" w:rsidRDefault="00B10F8E" w:rsidP="00B10F8E">
      <w:pPr>
        <w:pStyle w:val="Heading3"/>
        <w:jc w:val="both"/>
        <w:rPr>
          <w:rFonts w:cs="Arial"/>
        </w:rPr>
      </w:pPr>
      <w:bookmarkStart w:id="74" w:name="_Toc116458454"/>
      <w:r w:rsidRPr="00F00D94">
        <w:rPr>
          <w:rFonts w:cs="Arial"/>
        </w:rPr>
        <w:t>OMB Compliance Requirements</w:t>
      </w:r>
      <w:bookmarkEnd w:id="74"/>
    </w:p>
    <w:p w14:paraId="3DE38D64" w14:textId="77777777" w:rsidR="00B10F8E" w:rsidRPr="00F00D94" w:rsidRDefault="00B10F8E" w:rsidP="00B10F8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5DB3FBE9" w14:textId="77777777" w:rsidR="00B10F8E" w:rsidRPr="00F00D94" w:rsidRDefault="00B10F8E" w:rsidP="00B10F8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5CD3F787" w14:textId="77777777" w:rsidR="00B10F8E" w:rsidRPr="00F00D94" w:rsidRDefault="00B10F8E" w:rsidP="00B10F8E">
      <w:pPr>
        <w:spacing w:after="240"/>
        <w:jc w:val="both"/>
        <w:rPr>
          <w:rFonts w:ascii="Arial" w:hAnsi="Arial" w:cs="Arial"/>
          <w:i/>
          <w:sz w:val="20"/>
        </w:rPr>
      </w:pPr>
      <w:r w:rsidRPr="00F00D94">
        <w:rPr>
          <w:rFonts w:ascii="Arial" w:hAnsi="Arial" w:cs="Arial"/>
          <w:i/>
          <w:sz w:val="20"/>
        </w:rPr>
        <w:t>(Source: 2022 OMB Compliance Supplement Part 3)</w:t>
      </w:r>
    </w:p>
    <w:p w14:paraId="4ACBE6BC" w14:textId="77777777" w:rsidR="00B10F8E" w:rsidRPr="00F00D94" w:rsidRDefault="00B10F8E" w:rsidP="00B10F8E">
      <w:pPr>
        <w:spacing w:after="240"/>
        <w:jc w:val="both"/>
        <w:rPr>
          <w:rFonts w:ascii="Arial" w:hAnsi="Arial" w:cs="Arial"/>
          <w:b/>
        </w:rPr>
      </w:pPr>
      <w:r w:rsidRPr="00F00D94">
        <w:rPr>
          <w:rFonts w:ascii="Arial" w:hAnsi="Arial" w:cs="Arial"/>
          <w:b/>
        </w:rPr>
        <w:t>Part 4 OMB Program Specific Requirements</w:t>
      </w:r>
    </w:p>
    <w:p w14:paraId="63C268DB" w14:textId="77B84985" w:rsidR="00B10F8E" w:rsidRPr="00220005" w:rsidRDefault="00220005" w:rsidP="00220005">
      <w:pPr>
        <w:spacing w:after="240"/>
        <w:jc w:val="both"/>
        <w:rPr>
          <w:rFonts w:ascii="Arial" w:hAnsi="Arial" w:cs="Arial"/>
          <w:sz w:val="20"/>
        </w:rPr>
      </w:pPr>
      <w:r w:rsidRPr="00220005">
        <w:rPr>
          <w:rFonts w:ascii="Arial" w:hAnsi="Arial" w:cs="Arial"/>
          <w:color w:val="000000"/>
          <w:sz w:val="20"/>
        </w:rPr>
        <w:t xml:space="preserve">Treasury to make reallocation determinations is accurate and that excess funds that are subject to involuntary recapture are returned to Treasury in accordance with Treasury’s confirmation letter from </w:t>
      </w:r>
      <w:hyperlink r:id="rId106" w:history="1">
        <w:r w:rsidRPr="00220005">
          <w:rPr>
            <w:rStyle w:val="Hyperlink"/>
            <w:rFonts w:ascii="Arial" w:hAnsi="Arial" w:cs="Arial"/>
            <w:sz w:val="20"/>
          </w:rPr>
          <w:t>EmergencyRentalAssistance@Treasury.gov</w:t>
        </w:r>
      </w:hyperlink>
      <w:r w:rsidRPr="00220005">
        <w:rPr>
          <w:rFonts w:ascii="Arial" w:hAnsi="Arial" w:cs="Arial"/>
          <w:color w:val="2C7DF7"/>
          <w:sz w:val="20"/>
        </w:rPr>
        <w:t xml:space="preserve">. </w:t>
      </w:r>
      <w:r w:rsidR="00B10F8E" w:rsidRPr="00220005">
        <w:rPr>
          <w:rFonts w:ascii="Arial" w:hAnsi="Arial" w:cs="Arial"/>
          <w:color w:val="231F20"/>
          <w:sz w:val="20"/>
        </w:rPr>
        <w:t>The financial information certified as part of reallocation includes monthly expenditure and cumulative obligations levels, as described in the Treasury reallocation guidance. ERA 1 expenditures reported monthly by the grantee are inputs to Treasury’s reallocation expenditure ratio. ERA</w:t>
      </w:r>
      <w:r w:rsidR="00BD3538" w:rsidRPr="00220005">
        <w:rPr>
          <w:rFonts w:ascii="Arial" w:hAnsi="Arial" w:cs="Arial"/>
          <w:color w:val="231F20"/>
          <w:sz w:val="20"/>
        </w:rPr>
        <w:t xml:space="preserve"> </w:t>
      </w:r>
      <w:r w:rsidR="00B10F8E" w:rsidRPr="00220005">
        <w:rPr>
          <w:rFonts w:ascii="Arial" w:hAnsi="Arial" w:cs="Arial"/>
          <w:color w:val="231F20"/>
          <w:sz w:val="20"/>
        </w:rPr>
        <w:t xml:space="preserve">1 obligations certified in the Request for Reallocated Funds form (1505-0266), including in the Request for Voluntarily Reallocated Funds, are inputs into determining eligibility to receive reallocated funds. ERA 2 expenditures and obligations reported in quarterly reports by the grantee are inputs to Treasury’s ERA 2 reallocation expenditure and obligation ratios. The reallocation expenditure ratio determines whether the grantee is subject to involuntary reallocation due to an insufficient ratio and the amount of excess funds subject to recapture by Treasury. </w:t>
      </w:r>
    </w:p>
    <w:p w14:paraId="343D8BD3" w14:textId="1E9C6656" w:rsidR="00B10F8E" w:rsidRDefault="00B10F8E" w:rsidP="00220005">
      <w:pPr>
        <w:pStyle w:val="BodyText"/>
        <w:jc w:val="both"/>
        <w:rPr>
          <w:rFonts w:ascii="Arial" w:hAnsi="Arial" w:cs="Arial"/>
          <w:color w:val="231F20"/>
          <w:sz w:val="20"/>
          <w:szCs w:val="20"/>
        </w:rPr>
      </w:pPr>
      <w:r w:rsidRPr="00166038">
        <w:rPr>
          <w:rFonts w:ascii="Arial" w:hAnsi="Arial" w:cs="Arial"/>
          <w:color w:val="231F20"/>
          <w:sz w:val="20"/>
          <w:szCs w:val="20"/>
        </w:rPr>
        <w:t xml:space="preserve">Pursuant to section 501(d) of the Consolidated Appropriations Act, 2021, Treasury is required to reallocate “excess” ERA 1 award funds. Treasury’s objective in reallocations is to ensure ERA 1 award funds remain available to grantees in accordance with their jurisdictional needs and demonstrated capacity to deliver assistance while the ERA appropriations remain available. Treasury’s ERA 1 reallocation guidance on Treasury.gov and previewed here describes how grantees that have expenditure ratios below designated thresholds as of September 30, 2021, were subject to involuntary recapture, in the absence of mitigating actions, requiring the grantee to return funds to Treasury within the provided timeframes. Treasury continues to periodically assess expenditures using escalating expenditure benchmarks to identify and reallocate excess funds. For the first assessment using data as of September 30, 2021, grantees could mitigate the impact of recapture by submitting a certification that the grantee’s financial assistance activity had since increased to a level beyond the minimum threshold, committing to a voluntary reallocation, or by providing a Performance Improvement Plan. Treasury’s reallocation guidance on Treasury.gov will continue to detail specific ERA reallocation timelines. The guidance also describes the voluntary reallocation process through which a grantee may request that Treasury reallocate its ERA 1 award funds to other ERA 1 grantees in the same state. Treasury is not recapturing funds from Indian Tribes or Tribally Designated </w:t>
      </w:r>
      <w:r w:rsidRPr="00166038">
        <w:rPr>
          <w:rFonts w:ascii="Arial" w:hAnsi="Arial" w:cs="Arial"/>
          <w:color w:val="231F20"/>
          <w:sz w:val="20"/>
          <w:szCs w:val="20"/>
        </w:rPr>
        <w:lastRenderedPageBreak/>
        <w:t xml:space="preserve">Housing Entities (TDHEs) prior to the end of the second quarter of 2022, except where a Tribal grantee, its TDHE, or housing authority voluntarily return funds to Treasury. Auditors should refer to the ERA 1 reallocation guidance at </w:t>
      </w:r>
      <w:hyperlink r:id="rId107" w:history="1">
        <w:r w:rsidR="00B013E4">
          <w:rPr>
            <w:rStyle w:val="Hyperlink"/>
            <w:rFonts w:ascii="Arial" w:hAnsi="Arial" w:cs="Arial"/>
            <w:sz w:val="20"/>
            <w:szCs w:val="20"/>
          </w:rPr>
          <w:t>www.treasury</w:t>
        </w:r>
        <w:r w:rsidR="00B013E4">
          <w:rPr>
            <w:rStyle w:val="Hyperlink"/>
            <w:rFonts w:ascii="Arial" w:hAnsi="Arial" w:cs="Arial"/>
            <w:sz w:val="20"/>
            <w:szCs w:val="20"/>
          </w:rPr>
          <w:t>.</w:t>
        </w:r>
        <w:r w:rsidR="00B013E4">
          <w:rPr>
            <w:rStyle w:val="Hyperlink"/>
            <w:rFonts w:ascii="Arial" w:hAnsi="Arial" w:cs="Arial"/>
            <w:sz w:val="20"/>
            <w:szCs w:val="20"/>
          </w:rPr>
          <w:t>gov/era</w:t>
        </w:r>
      </w:hyperlink>
      <w:bookmarkStart w:id="75" w:name="_GoBack"/>
      <w:bookmarkEnd w:id="75"/>
      <w:r w:rsidR="00B013E4" w:rsidRPr="00B013E4">
        <w:rPr>
          <w:rFonts w:ascii="Arial" w:hAnsi="Arial" w:cs="Arial"/>
          <w:sz w:val="20"/>
          <w:szCs w:val="20"/>
        </w:rPr>
        <w:t xml:space="preserve">. </w:t>
      </w:r>
      <w:r w:rsidRPr="00166038">
        <w:rPr>
          <w:rFonts w:ascii="Arial" w:hAnsi="Arial" w:cs="Arial"/>
          <w:color w:val="231F20"/>
          <w:sz w:val="20"/>
          <w:szCs w:val="20"/>
        </w:rPr>
        <w:t>Guidance for ERA 2 reallocation can also be found on this site.</w:t>
      </w:r>
    </w:p>
    <w:p w14:paraId="3D0B4E51" w14:textId="08C8C902" w:rsidR="00B10F8E" w:rsidRPr="00166038" w:rsidRDefault="00B10F8E" w:rsidP="00220005">
      <w:pPr>
        <w:spacing w:after="240"/>
        <w:jc w:val="both"/>
      </w:pPr>
      <w:r w:rsidRPr="00BC7F42">
        <w:rPr>
          <w:rFonts w:ascii="Arial" w:hAnsi="Arial" w:cs="Arial"/>
          <w:bCs/>
          <w:i/>
          <w:sz w:val="20"/>
        </w:rPr>
        <w:t xml:space="preserve">(Source: </w:t>
      </w:r>
      <w:r>
        <w:rPr>
          <w:rFonts w:ascii="Arial" w:hAnsi="Arial" w:cs="Arial"/>
          <w:bCs/>
          <w:i/>
          <w:sz w:val="20"/>
        </w:rPr>
        <w:t>2022 OMB Compliance Supplement, Part 4, Treasury, Emergency Rental Assistance Program)</w:t>
      </w:r>
    </w:p>
    <w:p w14:paraId="75C84EB1" w14:textId="77777777" w:rsidR="00B10F8E" w:rsidRPr="00F00D94" w:rsidRDefault="00B10F8E" w:rsidP="00220005">
      <w:pPr>
        <w:pStyle w:val="Heading3"/>
        <w:jc w:val="both"/>
        <w:rPr>
          <w:rFonts w:cs="Arial"/>
        </w:rPr>
      </w:pPr>
      <w:bookmarkStart w:id="76" w:name="_Toc116458455"/>
      <w:r w:rsidRPr="00F00D94">
        <w:rPr>
          <w:rFonts w:cs="Arial"/>
        </w:rPr>
        <w:t>Additional Program Specific Information</w:t>
      </w:r>
      <w:bookmarkEnd w:id="76"/>
    </w:p>
    <w:p w14:paraId="207FD144" w14:textId="19D40069" w:rsidR="00B10F8E" w:rsidRPr="00F00D94" w:rsidRDefault="00B10F8E" w:rsidP="00B10F8E">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628BE602" w14:textId="77777777" w:rsidR="00B10F8E" w:rsidRPr="00F00D94" w:rsidRDefault="00B10F8E" w:rsidP="00B10F8E">
      <w:pPr>
        <w:pStyle w:val="Heading3"/>
        <w:jc w:val="both"/>
        <w:rPr>
          <w:rFonts w:cs="Arial"/>
        </w:rPr>
      </w:pPr>
      <w:bookmarkStart w:id="77" w:name="_Toc116458456"/>
      <w:r w:rsidRPr="00F00D94">
        <w:rPr>
          <w:rFonts w:cs="Arial"/>
        </w:rPr>
        <w:t>Audit Objectives and Control Testing</w:t>
      </w:r>
      <w:bookmarkEnd w:id="77"/>
    </w:p>
    <w:p w14:paraId="2C03BF6F" w14:textId="77777777" w:rsidR="00B10F8E" w:rsidRPr="00F00D94" w:rsidRDefault="00B10F8E" w:rsidP="00B10F8E">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6D3BD99" w14:textId="752075D6" w:rsidR="00B10F8E" w:rsidRPr="00F00D94" w:rsidRDefault="00B10F8E" w:rsidP="00B10F8E">
      <w:pPr>
        <w:pStyle w:val="BodyText"/>
        <w:widowControl w:val="0"/>
        <w:numPr>
          <w:ilvl w:val="0"/>
          <w:numId w:val="36"/>
        </w:numPr>
        <w:autoSpaceDE w:val="0"/>
        <w:autoSpaceDN w:val="0"/>
        <w:spacing w:after="0"/>
        <w:rPr>
          <w:rFonts w:ascii="Arial" w:hAnsi="Arial" w:cs="Arial"/>
          <w:sz w:val="20"/>
          <w:szCs w:val="20"/>
        </w:rPr>
      </w:pPr>
      <w:hyperlink r:id="rId108" w:history="1">
        <w:r w:rsidRPr="00F00D94">
          <w:rPr>
            <w:rStyle w:val="Hyperlink"/>
            <w:rFonts w:ascii="Arial" w:hAnsi="Arial" w:cs="Arial"/>
            <w:sz w:val="20"/>
            <w:szCs w:val="20"/>
          </w:rPr>
          <w:t>Part 6</w:t>
        </w:r>
      </w:hyperlink>
      <w:r w:rsidRPr="00F00D94">
        <w:rPr>
          <w:rFonts w:ascii="Arial" w:hAnsi="Arial" w:cs="Arial"/>
          <w:sz w:val="20"/>
          <w:szCs w:val="20"/>
        </w:rPr>
        <w:t xml:space="preserve"> (Internal Control) of the OMB Compliance Supplement</w:t>
      </w:r>
    </w:p>
    <w:p w14:paraId="241D59DF" w14:textId="79558DB2" w:rsidR="00B10F8E" w:rsidRPr="00F00D94" w:rsidRDefault="00B10F8E" w:rsidP="00B10F8E">
      <w:pPr>
        <w:pStyle w:val="BodyText"/>
        <w:widowControl w:val="0"/>
        <w:numPr>
          <w:ilvl w:val="0"/>
          <w:numId w:val="36"/>
        </w:numPr>
        <w:autoSpaceDE w:val="0"/>
        <w:autoSpaceDN w:val="0"/>
        <w:spacing w:after="0"/>
        <w:rPr>
          <w:rFonts w:ascii="Arial" w:hAnsi="Arial" w:cs="Arial"/>
          <w:sz w:val="20"/>
          <w:szCs w:val="20"/>
        </w:rPr>
      </w:pPr>
      <w:hyperlink r:id="rId109" w:history="1">
        <w:r w:rsidRPr="00F00D94">
          <w:rPr>
            <w:rStyle w:val="Hyperlink"/>
            <w:rFonts w:ascii="Arial" w:hAnsi="Arial" w:cs="Arial"/>
            <w:sz w:val="20"/>
            <w:szCs w:val="20"/>
          </w:rPr>
          <w:t>2013 COSO</w:t>
        </w:r>
      </w:hyperlink>
    </w:p>
    <w:p w14:paraId="150D77D6" w14:textId="6229E8B6" w:rsidR="00B10F8E" w:rsidRPr="00F00D94" w:rsidRDefault="00B10F8E" w:rsidP="00B10F8E">
      <w:pPr>
        <w:pStyle w:val="BodyText"/>
        <w:widowControl w:val="0"/>
        <w:numPr>
          <w:ilvl w:val="0"/>
          <w:numId w:val="36"/>
        </w:numPr>
        <w:autoSpaceDE w:val="0"/>
        <w:autoSpaceDN w:val="0"/>
        <w:rPr>
          <w:rStyle w:val="Hyperlink"/>
          <w:rFonts w:ascii="Arial" w:hAnsi="Arial" w:cs="Arial"/>
          <w:color w:val="auto"/>
          <w:sz w:val="20"/>
          <w:szCs w:val="20"/>
          <w:u w:val="none"/>
        </w:rPr>
      </w:pPr>
      <w:hyperlink r:id="rId110" w:history="1">
        <w:r w:rsidRPr="00F00D94">
          <w:rPr>
            <w:rStyle w:val="Hyperlink"/>
            <w:rFonts w:ascii="Arial" w:hAnsi="Arial" w:cs="Arial"/>
            <w:sz w:val="20"/>
            <w:szCs w:val="20"/>
          </w:rPr>
          <w:t>GAO’s 2014 Green Book</w:t>
        </w:r>
      </w:hyperlink>
    </w:p>
    <w:p w14:paraId="40BB0C95" w14:textId="77777777" w:rsidR="00B10F8E" w:rsidRPr="00F00D94" w:rsidRDefault="00B10F8E" w:rsidP="00B10F8E">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2DE80AD" w14:textId="77777777" w:rsidR="00B10F8E" w:rsidRPr="00F00D94" w:rsidRDefault="00B10F8E" w:rsidP="00B10F8E">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0CFB50CE" w14:textId="77777777" w:rsidR="00B10F8E" w:rsidRPr="00F00D94" w:rsidRDefault="00B10F8E" w:rsidP="00B10F8E">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057AE27" w14:textId="77777777" w:rsidR="00B10F8E" w:rsidRPr="00F00D94" w:rsidRDefault="00B10F8E" w:rsidP="00B10F8E">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B10F8E" w:rsidRPr="00F00D94" w14:paraId="269D686A" w14:textId="77777777" w:rsidTr="00535056">
        <w:tc>
          <w:tcPr>
            <w:tcW w:w="5000" w:type="pct"/>
            <w:shd w:val="clear" w:color="auto" w:fill="548DD4" w:themeFill="text2" w:themeFillTint="99"/>
          </w:tcPr>
          <w:p w14:paraId="5EC0D44D" w14:textId="77777777" w:rsidR="00B10F8E" w:rsidRPr="00F00D94" w:rsidRDefault="00B10F8E" w:rsidP="00535056">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B10F8E" w:rsidRPr="00F00D94" w14:paraId="3A80A932" w14:textId="77777777" w:rsidTr="00535056">
        <w:tc>
          <w:tcPr>
            <w:tcW w:w="5000" w:type="pct"/>
          </w:tcPr>
          <w:p w14:paraId="7FBB6732" w14:textId="77777777" w:rsidR="00B10F8E" w:rsidRPr="00F00D94" w:rsidRDefault="00B10F8E" w:rsidP="00535056">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372EE50" w14:textId="77777777" w:rsidR="00B10F8E" w:rsidRPr="00F00D94" w:rsidRDefault="00B10F8E" w:rsidP="00535056">
            <w:pPr>
              <w:pStyle w:val="AuditProcedureHeading"/>
              <w:spacing w:after="240"/>
              <w:jc w:val="both"/>
              <w:rPr>
                <w:rFonts w:cs="Arial"/>
                <w:b/>
                <w:bCs/>
                <w:szCs w:val="20"/>
                <w:u w:val="single"/>
              </w:rPr>
            </w:pPr>
          </w:p>
          <w:p w14:paraId="7B2D445B" w14:textId="77777777" w:rsidR="00B10F8E" w:rsidRPr="00F00D94" w:rsidRDefault="00B10F8E" w:rsidP="00535056">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A45A56" w14:textId="77777777" w:rsidR="00B10F8E" w:rsidRPr="00F00D94" w:rsidRDefault="00B10F8E" w:rsidP="00535056">
            <w:pPr>
              <w:pStyle w:val="AuditProcedureHeading"/>
              <w:spacing w:after="240"/>
              <w:jc w:val="both"/>
              <w:rPr>
                <w:rFonts w:cs="Arial"/>
                <w:b/>
                <w:bCs/>
                <w:szCs w:val="20"/>
                <w:u w:val="single"/>
              </w:rPr>
            </w:pPr>
          </w:p>
          <w:p w14:paraId="462A51B6" w14:textId="77777777" w:rsidR="00B10F8E" w:rsidRPr="00F00D94" w:rsidRDefault="00B10F8E" w:rsidP="00535056">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08D7CFF" w14:textId="77777777" w:rsidR="00B10F8E" w:rsidRPr="00F00D94" w:rsidRDefault="00B10F8E" w:rsidP="00535056">
            <w:pPr>
              <w:spacing w:after="240"/>
              <w:jc w:val="both"/>
              <w:rPr>
                <w:rFonts w:ascii="Arial" w:hAnsi="Arial" w:cs="Arial"/>
                <w:b/>
                <w:sz w:val="20"/>
                <w:u w:val="single"/>
              </w:rPr>
            </w:pPr>
          </w:p>
          <w:p w14:paraId="2F012039" w14:textId="77777777" w:rsidR="00B10F8E" w:rsidRPr="00F00D94" w:rsidRDefault="00B10F8E" w:rsidP="00535056">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593DFF86" w14:textId="77777777" w:rsidR="00B10F8E" w:rsidRPr="00C35E5F" w:rsidRDefault="00B10F8E" w:rsidP="00535056">
            <w:pPr>
              <w:spacing w:after="240"/>
              <w:jc w:val="both"/>
              <w:rPr>
                <w:rFonts w:ascii="Arial" w:eastAsiaTheme="minorHAnsi" w:hAnsi="Arial" w:cs="Arial"/>
                <w:sz w:val="20"/>
                <w:szCs w:val="20"/>
              </w:rPr>
            </w:pPr>
          </w:p>
        </w:tc>
      </w:tr>
    </w:tbl>
    <w:p w14:paraId="74E7C41E" w14:textId="77777777" w:rsidR="00B10F8E" w:rsidRPr="00F00D94" w:rsidRDefault="00B10F8E" w:rsidP="00B10F8E">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7A5BB4BF" w14:textId="77777777" w:rsidR="00B10F8E" w:rsidRPr="00F00D94" w:rsidRDefault="00B10F8E" w:rsidP="00B10F8E">
      <w:pPr>
        <w:pStyle w:val="Heading3"/>
        <w:jc w:val="both"/>
        <w:rPr>
          <w:rFonts w:cs="Arial"/>
        </w:rPr>
      </w:pPr>
      <w:bookmarkStart w:id="78" w:name="_Toc116458457"/>
      <w:r w:rsidRPr="00F00D94">
        <w:rPr>
          <w:rFonts w:cs="Arial"/>
        </w:rPr>
        <w:t>Suggested Audit Procedures</w:t>
      </w:r>
      <w:bookmarkEnd w:id="78"/>
    </w:p>
    <w:tbl>
      <w:tblPr>
        <w:tblStyle w:val="TableGrid"/>
        <w:tblW w:w="0" w:type="auto"/>
        <w:tblLayout w:type="fixed"/>
        <w:tblLook w:val="04A0" w:firstRow="1" w:lastRow="0" w:firstColumn="1" w:lastColumn="0" w:noHBand="0" w:noVBand="1"/>
      </w:tblPr>
      <w:tblGrid>
        <w:gridCol w:w="9558"/>
      </w:tblGrid>
      <w:tr w:rsidR="00B10F8E" w:rsidRPr="00F00D94" w14:paraId="6B2A3954" w14:textId="77777777" w:rsidTr="00535056">
        <w:tc>
          <w:tcPr>
            <w:tcW w:w="9558" w:type="dxa"/>
            <w:shd w:val="clear" w:color="auto" w:fill="548DD4" w:themeFill="text2" w:themeFillTint="99"/>
          </w:tcPr>
          <w:p w14:paraId="2B31FB59" w14:textId="77777777" w:rsidR="00B10F8E" w:rsidRPr="00F00D94" w:rsidRDefault="00B10F8E" w:rsidP="00535056">
            <w:pPr>
              <w:pStyle w:val="AuditProcedureHeading"/>
              <w:jc w:val="both"/>
              <w:rPr>
                <w:rFonts w:cs="Arial"/>
                <w:sz w:val="28"/>
                <w:szCs w:val="28"/>
              </w:rPr>
            </w:pPr>
            <w:r w:rsidRPr="00F00D94">
              <w:rPr>
                <w:rFonts w:cs="Arial"/>
                <w:b/>
                <w:sz w:val="28"/>
                <w:szCs w:val="28"/>
              </w:rPr>
              <w:t>Suggested Audit Procedures – Compliance (Substantive Tests)</w:t>
            </w:r>
          </w:p>
          <w:p w14:paraId="378457D4" w14:textId="77777777" w:rsidR="00B10F8E" w:rsidRPr="00F00D94" w:rsidRDefault="00B10F8E" w:rsidP="00535056">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B10F8E" w:rsidRPr="00F00D94" w14:paraId="142AC3AB" w14:textId="77777777" w:rsidTr="00535056">
        <w:tc>
          <w:tcPr>
            <w:tcW w:w="9558" w:type="dxa"/>
          </w:tcPr>
          <w:p w14:paraId="4DE63923" w14:textId="77777777" w:rsidR="00B10F8E" w:rsidRPr="00F00D94" w:rsidRDefault="00B10F8E" w:rsidP="00535056">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10F8E" w:rsidRPr="00F00D94" w14:paraId="0BD52DCD" w14:textId="77777777" w:rsidTr="00535056">
        <w:tc>
          <w:tcPr>
            <w:tcW w:w="9558" w:type="dxa"/>
          </w:tcPr>
          <w:p w14:paraId="415672E4" w14:textId="2E47E93A" w:rsidR="00871306" w:rsidRPr="00BD3538" w:rsidRDefault="00BD3538" w:rsidP="00BD3538">
            <w:pPr>
              <w:pStyle w:val="BodyText"/>
              <w:numPr>
                <w:ilvl w:val="0"/>
                <w:numId w:val="55"/>
              </w:numPr>
              <w:jc w:val="both"/>
              <w:rPr>
                <w:rFonts w:ascii="Arial" w:hAnsi="Arial" w:cs="Arial"/>
                <w:color w:val="2E75B5"/>
                <w:sz w:val="20"/>
                <w:szCs w:val="20"/>
              </w:rPr>
            </w:pPr>
            <w:r>
              <w:rPr>
                <w:rFonts w:ascii="Arial" w:hAnsi="Arial" w:cs="Arial"/>
                <w:color w:val="231F20"/>
                <w:sz w:val="20"/>
                <w:szCs w:val="20"/>
              </w:rPr>
              <w:t>Obtain a copy of the financial information certified by the entity and provided to Treasury to make reallocation determinations</w:t>
            </w:r>
            <w:r w:rsidR="00220005">
              <w:rPr>
                <w:rFonts w:ascii="Arial" w:hAnsi="Arial" w:cs="Arial"/>
                <w:color w:val="231F20"/>
                <w:sz w:val="20"/>
                <w:szCs w:val="20"/>
              </w:rPr>
              <w:t xml:space="preserve">. </w:t>
            </w:r>
          </w:p>
          <w:p w14:paraId="670C2777" w14:textId="1FC7BC7D" w:rsidR="00BD3538" w:rsidRPr="00BD3538" w:rsidRDefault="00BD3538" w:rsidP="00BD3538">
            <w:pPr>
              <w:pStyle w:val="BodyText"/>
              <w:numPr>
                <w:ilvl w:val="0"/>
                <w:numId w:val="55"/>
              </w:numPr>
              <w:jc w:val="both"/>
              <w:rPr>
                <w:rFonts w:ascii="Arial" w:hAnsi="Arial" w:cs="Arial"/>
                <w:color w:val="2E75B5"/>
                <w:sz w:val="20"/>
                <w:szCs w:val="20"/>
              </w:rPr>
            </w:pPr>
            <w:r>
              <w:rPr>
                <w:rFonts w:ascii="Arial" w:hAnsi="Arial" w:cs="Arial"/>
                <w:color w:val="231F20"/>
                <w:sz w:val="20"/>
                <w:szCs w:val="20"/>
              </w:rPr>
              <w:t>Confirm that the financial information is accurate by agreeing to underlying documentation</w:t>
            </w:r>
            <w:r w:rsidR="00220005">
              <w:rPr>
                <w:rFonts w:ascii="Arial" w:hAnsi="Arial" w:cs="Arial"/>
                <w:color w:val="231F20"/>
                <w:sz w:val="20"/>
                <w:szCs w:val="20"/>
              </w:rPr>
              <w:t xml:space="preserve">. </w:t>
            </w:r>
          </w:p>
          <w:p w14:paraId="5BA6A9D7" w14:textId="3259D43C" w:rsidR="00BD3538" w:rsidRPr="00BD3538" w:rsidRDefault="00BD3538" w:rsidP="00BD3538">
            <w:pPr>
              <w:pStyle w:val="BodyText"/>
              <w:numPr>
                <w:ilvl w:val="0"/>
                <w:numId w:val="55"/>
              </w:numPr>
              <w:jc w:val="both"/>
              <w:rPr>
                <w:rFonts w:ascii="Arial" w:hAnsi="Arial" w:cs="Arial"/>
                <w:color w:val="2E75B5"/>
                <w:sz w:val="20"/>
                <w:szCs w:val="20"/>
              </w:rPr>
            </w:pPr>
            <w:r>
              <w:rPr>
                <w:rFonts w:ascii="Arial" w:hAnsi="Arial" w:cs="Arial"/>
                <w:color w:val="231F20"/>
                <w:sz w:val="20"/>
                <w:szCs w:val="20"/>
              </w:rPr>
              <w:t>Obtain the confirmation letter provided to the entity by Treasury</w:t>
            </w:r>
            <w:r w:rsidR="00220005">
              <w:rPr>
                <w:rFonts w:ascii="Arial" w:hAnsi="Arial" w:cs="Arial"/>
                <w:color w:val="231F20"/>
                <w:sz w:val="20"/>
                <w:szCs w:val="20"/>
              </w:rPr>
              <w:t xml:space="preserve">. </w:t>
            </w:r>
          </w:p>
          <w:p w14:paraId="47A12354" w14:textId="71B7F5D9" w:rsidR="00B10F8E" w:rsidRPr="00BD3538" w:rsidRDefault="00BD3538" w:rsidP="00BD3538">
            <w:pPr>
              <w:pStyle w:val="BodyText"/>
              <w:numPr>
                <w:ilvl w:val="0"/>
                <w:numId w:val="55"/>
              </w:numPr>
              <w:jc w:val="both"/>
              <w:rPr>
                <w:rFonts w:ascii="Arial" w:hAnsi="Arial" w:cs="Arial"/>
                <w:color w:val="2E75B5"/>
                <w:sz w:val="20"/>
                <w:szCs w:val="20"/>
              </w:rPr>
            </w:pPr>
            <w:r>
              <w:rPr>
                <w:rFonts w:ascii="Arial" w:hAnsi="Arial" w:cs="Arial"/>
                <w:color w:val="231F20"/>
                <w:sz w:val="20"/>
                <w:szCs w:val="20"/>
              </w:rPr>
              <w:t>Verify that excess funds subject to involuntary recapture, in accordance with the confirmation from Treasury, were properly returned to Treasury</w:t>
            </w:r>
            <w:r w:rsidR="00220005">
              <w:rPr>
                <w:rFonts w:ascii="Arial" w:hAnsi="Arial" w:cs="Arial"/>
                <w:color w:val="231F20"/>
                <w:sz w:val="20"/>
                <w:szCs w:val="20"/>
              </w:rPr>
              <w:t xml:space="preserve">. </w:t>
            </w:r>
          </w:p>
        </w:tc>
      </w:tr>
    </w:tbl>
    <w:p w14:paraId="0C4AD49D" w14:textId="77777777" w:rsidR="00B10F8E" w:rsidRPr="00F00D94" w:rsidRDefault="00B10F8E" w:rsidP="00B10F8E">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DCB34EC" w14:textId="77777777" w:rsidR="00B10F8E" w:rsidRPr="00F00D94" w:rsidRDefault="00B10F8E" w:rsidP="00B10F8E">
      <w:pPr>
        <w:pStyle w:val="Heading3"/>
        <w:jc w:val="both"/>
        <w:rPr>
          <w:rFonts w:cs="Arial"/>
          <w:b w:val="0"/>
          <w:szCs w:val="24"/>
        </w:rPr>
      </w:pPr>
      <w:bookmarkStart w:id="79" w:name="_Toc116458458"/>
      <w:r w:rsidRPr="00F00D94">
        <w:rPr>
          <w:rFonts w:cs="Arial"/>
        </w:rPr>
        <w:t>Audit Implications Summary</w:t>
      </w:r>
      <w:bookmarkEnd w:id="79"/>
    </w:p>
    <w:tbl>
      <w:tblPr>
        <w:tblStyle w:val="TableGrid"/>
        <w:tblW w:w="5000" w:type="pct"/>
        <w:tblLook w:val="04A0" w:firstRow="1" w:lastRow="0" w:firstColumn="1" w:lastColumn="0" w:noHBand="0" w:noVBand="1"/>
      </w:tblPr>
      <w:tblGrid>
        <w:gridCol w:w="9350"/>
      </w:tblGrid>
      <w:tr w:rsidR="00B10F8E" w:rsidRPr="00F00D94" w14:paraId="671766B9" w14:textId="77777777" w:rsidTr="00535056">
        <w:tc>
          <w:tcPr>
            <w:tcW w:w="5000" w:type="pct"/>
            <w:shd w:val="clear" w:color="auto" w:fill="548DD4" w:themeFill="text2" w:themeFillTint="99"/>
          </w:tcPr>
          <w:p w14:paraId="67BA09D0" w14:textId="77777777" w:rsidR="00B10F8E" w:rsidRPr="00F00D94" w:rsidRDefault="00B10F8E" w:rsidP="00535056">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B10F8E" w:rsidRPr="00F00D94" w14:paraId="107E5B2B" w14:textId="77777777" w:rsidTr="00535056">
        <w:tc>
          <w:tcPr>
            <w:tcW w:w="5000" w:type="pct"/>
          </w:tcPr>
          <w:p w14:paraId="07CCB235" w14:textId="77777777" w:rsidR="00B10F8E" w:rsidRPr="00F00D94" w:rsidRDefault="00B10F8E" w:rsidP="00220005">
            <w:pPr>
              <w:widowControl w:val="0"/>
              <w:numPr>
                <w:ilvl w:val="0"/>
                <w:numId w:val="57"/>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52DD5D6A" w14:textId="77777777" w:rsidR="00B10F8E" w:rsidRPr="00F00D94" w:rsidRDefault="00B10F8E" w:rsidP="00535056">
            <w:pPr>
              <w:widowControl w:val="0"/>
              <w:spacing w:after="240"/>
              <w:ind w:left="720"/>
              <w:jc w:val="both"/>
              <w:rPr>
                <w:rFonts w:ascii="Arial" w:hAnsi="Arial" w:cs="Arial"/>
                <w:b/>
                <w:sz w:val="20"/>
              </w:rPr>
            </w:pPr>
          </w:p>
          <w:p w14:paraId="11559443" w14:textId="77777777" w:rsidR="00B10F8E" w:rsidRPr="00F00D94" w:rsidRDefault="00B10F8E" w:rsidP="00220005">
            <w:pPr>
              <w:widowControl w:val="0"/>
              <w:numPr>
                <w:ilvl w:val="0"/>
                <w:numId w:val="57"/>
              </w:numPr>
              <w:spacing w:after="240"/>
              <w:jc w:val="both"/>
              <w:rPr>
                <w:rFonts w:ascii="Arial" w:eastAsiaTheme="minorHAnsi" w:hAnsi="Arial" w:cs="Arial"/>
                <w:b/>
                <w:sz w:val="20"/>
              </w:rPr>
            </w:pPr>
            <w:r w:rsidRPr="00F00D94">
              <w:rPr>
                <w:rFonts w:ascii="Arial" w:hAnsi="Arial" w:cs="Arial"/>
                <w:b/>
                <w:sz w:val="20"/>
              </w:rPr>
              <w:t>Assessment of Control Risk:</w:t>
            </w:r>
          </w:p>
          <w:p w14:paraId="1B257F45" w14:textId="77777777" w:rsidR="00B10F8E" w:rsidRPr="00F00D94" w:rsidRDefault="00B10F8E" w:rsidP="00535056">
            <w:pPr>
              <w:pStyle w:val="ListParagraph"/>
              <w:spacing w:after="240"/>
              <w:jc w:val="both"/>
              <w:rPr>
                <w:rFonts w:ascii="Arial" w:hAnsi="Arial" w:cs="Arial"/>
                <w:b/>
              </w:rPr>
            </w:pPr>
          </w:p>
          <w:p w14:paraId="08904500" w14:textId="77777777" w:rsidR="00B10F8E" w:rsidRPr="00F00D94" w:rsidRDefault="00B10F8E" w:rsidP="00220005">
            <w:pPr>
              <w:widowControl w:val="0"/>
              <w:numPr>
                <w:ilvl w:val="0"/>
                <w:numId w:val="5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1B3B6B1" w14:textId="77777777" w:rsidR="00B10F8E" w:rsidRPr="00F00D94" w:rsidRDefault="00B10F8E" w:rsidP="00535056">
            <w:pPr>
              <w:pStyle w:val="ListParagraph"/>
              <w:spacing w:after="240"/>
              <w:jc w:val="both"/>
              <w:rPr>
                <w:rFonts w:ascii="Arial" w:hAnsi="Arial" w:cs="Arial"/>
                <w:b/>
              </w:rPr>
            </w:pPr>
          </w:p>
          <w:p w14:paraId="067465CB" w14:textId="77777777" w:rsidR="00B10F8E" w:rsidRPr="00F00D94" w:rsidRDefault="00B10F8E" w:rsidP="00220005">
            <w:pPr>
              <w:widowControl w:val="0"/>
              <w:numPr>
                <w:ilvl w:val="0"/>
                <w:numId w:val="5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3A71C6C8" w14:textId="77777777" w:rsidR="00B10F8E" w:rsidRPr="00F00D94" w:rsidRDefault="00B10F8E" w:rsidP="00535056">
            <w:pPr>
              <w:pStyle w:val="ListParagraph"/>
              <w:spacing w:after="240"/>
              <w:jc w:val="both"/>
              <w:rPr>
                <w:rFonts w:ascii="Arial" w:hAnsi="Arial" w:cs="Arial"/>
                <w:b/>
              </w:rPr>
            </w:pPr>
          </w:p>
          <w:p w14:paraId="39E3BCAD" w14:textId="77777777" w:rsidR="00B10F8E" w:rsidRPr="00F00D94" w:rsidRDefault="00B10F8E" w:rsidP="00220005">
            <w:pPr>
              <w:widowControl w:val="0"/>
              <w:numPr>
                <w:ilvl w:val="0"/>
                <w:numId w:val="5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0CA0067" w14:textId="77777777" w:rsidR="00B10F8E" w:rsidRPr="00F00D94" w:rsidRDefault="00B10F8E" w:rsidP="00535056">
            <w:pPr>
              <w:pStyle w:val="APStepItem"/>
              <w:numPr>
                <w:ilvl w:val="0"/>
                <w:numId w:val="0"/>
              </w:numPr>
              <w:spacing w:after="240"/>
              <w:rPr>
                <w:rFonts w:cs="Arial"/>
                <w:b/>
              </w:rPr>
            </w:pPr>
          </w:p>
        </w:tc>
      </w:tr>
    </w:tbl>
    <w:p w14:paraId="0A2E3A90" w14:textId="24BFDD3A"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F00D94" w:rsidSect="00257772">
          <w:headerReference w:type="default" r:id="rId111"/>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80" w:name="_Toc442267704"/>
      <w:bookmarkStart w:id="81" w:name="_Toc116458459"/>
      <w:r w:rsidRPr="00F00D94">
        <w:rPr>
          <w:rStyle w:val="PageNumber"/>
          <w:rFonts w:cs="Arial"/>
        </w:rPr>
        <w:lastRenderedPageBreak/>
        <w:t>Program Testing Conclusion</w:t>
      </w:r>
      <w:bookmarkEnd w:id="80"/>
      <w:bookmarkEnd w:id="81"/>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12"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12" tgtFrame="&quot;content&quot;"/>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437268">
      <w:pPr>
        <w:numPr>
          <w:ilvl w:val="0"/>
          <w:numId w:val="45"/>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437268">
      <w:pPr>
        <w:numPr>
          <w:ilvl w:val="0"/>
          <w:numId w:val="45"/>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437268">
      <w:pPr>
        <w:numPr>
          <w:ilvl w:val="0"/>
          <w:numId w:val="45"/>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437268">
      <w:pPr>
        <w:numPr>
          <w:ilvl w:val="0"/>
          <w:numId w:val="45"/>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437268">
      <w:pPr>
        <w:numPr>
          <w:ilvl w:val="0"/>
          <w:numId w:val="45"/>
        </w:numPr>
        <w:tabs>
          <w:tab w:val="clear" w:pos="360"/>
          <w:tab w:val="num" w:pos="720"/>
        </w:tabs>
        <w:ind w:left="720"/>
        <w:jc w:val="both"/>
        <w:rPr>
          <w:rFonts w:ascii="Arial" w:hAnsi="Arial" w:cs="Arial"/>
          <w:sz w:val="20"/>
        </w:rPr>
      </w:pPr>
      <w:r w:rsidRPr="00F00D94">
        <w:rPr>
          <w:rFonts w:ascii="Arial" w:hAnsi="Arial" w:cs="Arial"/>
          <w:color w:val="252525"/>
          <w:sz w:val="20"/>
        </w:rPr>
        <w:t>Known or likely fraud affecting a federal award, unless such fraud is otherwise reported as an audit finding in the schedule of findings and questioned costs.</w:t>
      </w:r>
    </w:p>
    <w:p w14:paraId="08EAF09E" w14:textId="2A43ED7B" w:rsidR="009F67E0" w:rsidRPr="00F00D94" w:rsidRDefault="009F67E0" w:rsidP="00437268">
      <w:pPr>
        <w:numPr>
          <w:ilvl w:val="0"/>
          <w:numId w:val="45"/>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437268">
      <w:pPr>
        <w:numPr>
          <w:ilvl w:val="0"/>
          <w:numId w:val="45"/>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437268">
      <w:pPr>
        <w:numPr>
          <w:ilvl w:val="0"/>
          <w:numId w:val="45"/>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59D603F9" w:rsidR="00FA3EC3" w:rsidRPr="00F00D94" w:rsidRDefault="00B013E4" w:rsidP="006672EA">
      <w:pPr>
        <w:spacing w:after="240"/>
        <w:jc w:val="both"/>
        <w:rPr>
          <w:rFonts w:ascii="Arial" w:hAnsi="Arial" w:cs="Arial"/>
          <w:sz w:val="20"/>
        </w:rPr>
      </w:pPr>
      <w:hyperlink r:id="rId114"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026352FC" w:rsidR="00FA3EC3" w:rsidRPr="00F00D94" w:rsidRDefault="00B013E4" w:rsidP="006672EA">
      <w:pPr>
        <w:spacing w:after="240"/>
        <w:jc w:val="both"/>
        <w:rPr>
          <w:rFonts w:ascii="Arial" w:hAnsi="Arial" w:cs="Arial"/>
          <w:sz w:val="20"/>
        </w:rPr>
      </w:pPr>
      <w:hyperlink r:id="rId115"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377333C3"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16"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82" w:name="AICPAIGS:767.2670-1"/>
      <w:bookmarkEnd w:id="82"/>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in order to be communicated in the management letter: </w:t>
      </w:r>
    </w:p>
    <w:p w14:paraId="47396874" w14:textId="77777777" w:rsidR="00784098" w:rsidRPr="00F00D94" w:rsidRDefault="00784098" w:rsidP="00437268">
      <w:pPr>
        <w:pStyle w:val="ListParagraph"/>
        <w:numPr>
          <w:ilvl w:val="0"/>
          <w:numId w:val="19"/>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437268">
      <w:pPr>
        <w:pStyle w:val="ListParagraph"/>
        <w:numPr>
          <w:ilvl w:val="0"/>
          <w:numId w:val="19"/>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437268">
      <w:pPr>
        <w:pStyle w:val="ListParagraph"/>
        <w:numPr>
          <w:ilvl w:val="0"/>
          <w:numId w:val="19"/>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74FEBA2F"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535056" w:rsidRDefault="00535056">
      <w:r>
        <w:separator/>
      </w:r>
    </w:p>
  </w:endnote>
  <w:endnote w:type="continuationSeparator" w:id="0">
    <w:p w14:paraId="1B73C887" w14:textId="77777777" w:rsidR="00535056" w:rsidRDefault="0053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48B1CA3B" w:rsidR="00535056" w:rsidRDefault="00535056">
    <w:pPr>
      <w:pBdr>
        <w:top w:val="single" w:sz="4" w:space="1" w:color="auto"/>
      </w:pBdr>
      <w:tabs>
        <w:tab w:val="center" w:pos="4680"/>
      </w:tabs>
      <w:spacing w:line="240" w:lineRule="exact"/>
      <w:rPr>
        <w:sz w:val="18"/>
      </w:rPr>
    </w:pPr>
    <w:r>
      <w:rPr>
        <w:sz w:val="18"/>
      </w:rPr>
      <w:t>2022 UG FACCR ERA #21.023</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B013E4">
      <w:rPr>
        <w:b/>
        <w:noProof/>
        <w:sz w:val="18"/>
      </w:rPr>
      <w:t>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B013E4">
      <w:rPr>
        <w:b/>
        <w:noProof/>
        <w:sz w:val="18"/>
      </w:rPr>
      <w:t>72</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535056" w:rsidRDefault="00535056">
      <w:r>
        <w:separator/>
      </w:r>
    </w:p>
  </w:footnote>
  <w:footnote w:type="continuationSeparator" w:id="0">
    <w:p w14:paraId="7F3536C6" w14:textId="77777777" w:rsidR="00535056" w:rsidRDefault="00535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535056" w:rsidRPr="00084EE0" w:rsidRDefault="0053505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591EE8F0" w:rsidR="00535056" w:rsidRPr="002616A3" w:rsidRDefault="00535056"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ERA 1 Funds Redirection</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2674D" w14:textId="2191E2B8" w:rsidR="00535056" w:rsidRPr="002616A3" w:rsidRDefault="00535056"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 xml:space="preserve">Special Tests and </w:t>
    </w:r>
    <w:r w:rsidRPr="00751CA2">
      <w:rPr>
        <w:rFonts w:ascii="Arial" w:hAnsi="Arial" w:cs="Arial"/>
        <w:b/>
        <w:sz w:val="36"/>
        <w:szCs w:val="36"/>
      </w:rPr>
      <w:t>Provisions – ERA Funds Reallocation</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535056" w:rsidRPr="00784098" w:rsidRDefault="00535056"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535056" w:rsidRPr="00F13178" w:rsidRDefault="00535056"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535056" w:rsidRPr="00F13178" w:rsidRDefault="00535056"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535056" w:rsidRPr="00F13178" w:rsidRDefault="00535056"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535056" w:rsidRPr="004652A0" w:rsidRDefault="0053505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535056" w:rsidRDefault="005350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535056" w:rsidRPr="004652A0" w:rsidRDefault="0053505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79F9" w14:textId="77777777" w:rsidR="00535056" w:rsidRPr="00114391" w:rsidRDefault="00535056"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535056" w:rsidRPr="002616A3" w:rsidRDefault="00535056"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535056" w:rsidRPr="002616A3" w:rsidRDefault="00535056" w:rsidP="002616A3">
    <w:pPr>
      <w:pStyle w:val="Header"/>
      <w:jc w:val="center"/>
      <w:rPr>
        <w:rFonts w:ascii="Arial" w:hAnsi="Arial" w:cs="Arial"/>
      </w:rPr>
    </w:pPr>
    <w:r w:rsidRPr="002616A3">
      <w:rPr>
        <w:rStyle w:val="PageNumber"/>
        <w:rFonts w:ascii="Arial" w:hAnsi="Arial" w:cs="Arial"/>
        <w:b/>
        <w:sz w:val="36"/>
        <w:szCs w:val="36"/>
      </w:rPr>
      <w:t>L. Reporting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5226EEA"/>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9"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02CF1"/>
    <w:multiLevelType w:val="multilevel"/>
    <w:tmpl w:val="B2B8E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18"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19" w15:restartNumberingAfterBreak="0">
    <w:nsid w:val="32CD1613"/>
    <w:multiLevelType w:val="hybridMultilevel"/>
    <w:tmpl w:val="0F5E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ACD1320"/>
    <w:multiLevelType w:val="hybridMultilevel"/>
    <w:tmpl w:val="39668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26"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972F01"/>
    <w:multiLevelType w:val="hybridMultilevel"/>
    <w:tmpl w:val="3258B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F8214C"/>
    <w:multiLevelType w:val="hybridMultilevel"/>
    <w:tmpl w:val="404ACB88"/>
    <w:lvl w:ilvl="0" w:tplc="E9D2D5B0">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F574F5"/>
    <w:multiLevelType w:val="hybridMultilevel"/>
    <w:tmpl w:val="91C0D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39"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0"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9B6A87"/>
    <w:multiLevelType w:val="hybridMultilevel"/>
    <w:tmpl w:val="F51CEA94"/>
    <w:lvl w:ilvl="0" w:tplc="04090001">
      <w:start w:val="1"/>
      <w:numFmt w:val="bullet"/>
      <w:lvlText w:val=""/>
      <w:lvlJc w:val="left"/>
      <w:pPr>
        <w:ind w:left="920" w:hanging="720"/>
      </w:pPr>
      <w:rPr>
        <w:rFonts w:ascii="Symbol" w:hAnsi="Symbol" w:hint="default"/>
        <w:w w:val="100"/>
      </w:rPr>
    </w:lvl>
    <w:lvl w:ilvl="1" w:tplc="E9F28728">
      <w:numFmt w:val="bullet"/>
      <w:lvlText w:val="•"/>
      <w:lvlJc w:val="left"/>
      <w:pPr>
        <w:ind w:left="1806" w:hanging="720"/>
      </w:pPr>
      <w:rPr>
        <w:rFonts w:hint="default"/>
      </w:rPr>
    </w:lvl>
    <w:lvl w:ilvl="2" w:tplc="918084F8">
      <w:numFmt w:val="bullet"/>
      <w:lvlText w:val="•"/>
      <w:lvlJc w:val="left"/>
      <w:pPr>
        <w:ind w:left="2692" w:hanging="720"/>
      </w:pPr>
      <w:rPr>
        <w:rFonts w:hint="default"/>
      </w:rPr>
    </w:lvl>
    <w:lvl w:ilvl="3" w:tplc="A5B6D72C">
      <w:numFmt w:val="bullet"/>
      <w:lvlText w:val="•"/>
      <w:lvlJc w:val="left"/>
      <w:pPr>
        <w:ind w:left="3578" w:hanging="720"/>
      </w:pPr>
      <w:rPr>
        <w:rFonts w:hint="default"/>
      </w:rPr>
    </w:lvl>
    <w:lvl w:ilvl="4" w:tplc="6B0E7098">
      <w:numFmt w:val="bullet"/>
      <w:lvlText w:val="•"/>
      <w:lvlJc w:val="left"/>
      <w:pPr>
        <w:ind w:left="4464" w:hanging="720"/>
      </w:pPr>
      <w:rPr>
        <w:rFonts w:hint="default"/>
      </w:rPr>
    </w:lvl>
    <w:lvl w:ilvl="5" w:tplc="E3E098A4">
      <w:numFmt w:val="bullet"/>
      <w:lvlText w:val="•"/>
      <w:lvlJc w:val="left"/>
      <w:pPr>
        <w:ind w:left="5350" w:hanging="720"/>
      </w:pPr>
      <w:rPr>
        <w:rFonts w:hint="default"/>
      </w:rPr>
    </w:lvl>
    <w:lvl w:ilvl="6" w:tplc="6808854A">
      <w:numFmt w:val="bullet"/>
      <w:lvlText w:val="•"/>
      <w:lvlJc w:val="left"/>
      <w:pPr>
        <w:ind w:left="6236" w:hanging="720"/>
      </w:pPr>
      <w:rPr>
        <w:rFonts w:hint="default"/>
      </w:rPr>
    </w:lvl>
    <w:lvl w:ilvl="7" w:tplc="0D6420B0">
      <w:numFmt w:val="bullet"/>
      <w:lvlText w:val="•"/>
      <w:lvlJc w:val="left"/>
      <w:pPr>
        <w:ind w:left="7122" w:hanging="720"/>
      </w:pPr>
      <w:rPr>
        <w:rFonts w:hint="default"/>
      </w:rPr>
    </w:lvl>
    <w:lvl w:ilvl="8" w:tplc="5A365158">
      <w:numFmt w:val="bullet"/>
      <w:lvlText w:val="•"/>
      <w:lvlJc w:val="left"/>
      <w:pPr>
        <w:ind w:left="8008" w:hanging="720"/>
      </w:pPr>
      <w:rPr>
        <w:rFonts w:hint="default"/>
      </w:rPr>
    </w:lvl>
  </w:abstractNum>
  <w:abstractNum w:abstractNumId="45"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22646D"/>
    <w:multiLevelType w:val="hybridMultilevel"/>
    <w:tmpl w:val="CAA6C382"/>
    <w:lvl w:ilvl="0" w:tplc="F94A1E54">
      <w:start w:val="5"/>
      <w:numFmt w:val="upperLetter"/>
      <w:lvlText w:val="%1."/>
      <w:lvlJc w:val="left"/>
      <w:pPr>
        <w:ind w:left="920" w:hanging="721"/>
      </w:pPr>
      <w:rPr>
        <w:rFonts w:ascii="Times New Roman" w:eastAsia="Times New Roman" w:hAnsi="Times New Roman" w:cs="Times New Roman" w:hint="default"/>
        <w:b/>
        <w:bCs/>
        <w:color w:val="231F20"/>
        <w:spacing w:val="-2"/>
        <w:w w:val="100"/>
        <w:sz w:val="24"/>
        <w:szCs w:val="24"/>
      </w:rPr>
    </w:lvl>
    <w:lvl w:ilvl="1" w:tplc="E21E2794">
      <w:numFmt w:val="bullet"/>
      <w:lvlText w:val=""/>
      <w:lvlJc w:val="left"/>
      <w:pPr>
        <w:ind w:left="1640" w:hanging="720"/>
      </w:pPr>
      <w:rPr>
        <w:rFonts w:ascii="Symbol" w:eastAsia="Symbol" w:hAnsi="Symbol" w:cs="Symbol" w:hint="default"/>
        <w:color w:val="231F20"/>
        <w:w w:val="100"/>
        <w:sz w:val="24"/>
        <w:szCs w:val="24"/>
      </w:rPr>
    </w:lvl>
    <w:lvl w:ilvl="2" w:tplc="BA7EF09C">
      <w:numFmt w:val="bullet"/>
      <w:lvlText w:val="•"/>
      <w:lvlJc w:val="left"/>
      <w:pPr>
        <w:ind w:left="2544" w:hanging="720"/>
      </w:pPr>
      <w:rPr>
        <w:rFonts w:hint="default"/>
      </w:rPr>
    </w:lvl>
    <w:lvl w:ilvl="3" w:tplc="3EBC2BBA">
      <w:numFmt w:val="bullet"/>
      <w:lvlText w:val="•"/>
      <w:lvlJc w:val="left"/>
      <w:pPr>
        <w:ind w:left="3448" w:hanging="720"/>
      </w:pPr>
      <w:rPr>
        <w:rFonts w:hint="default"/>
      </w:rPr>
    </w:lvl>
    <w:lvl w:ilvl="4" w:tplc="E9A29862">
      <w:numFmt w:val="bullet"/>
      <w:lvlText w:val="•"/>
      <w:lvlJc w:val="left"/>
      <w:pPr>
        <w:ind w:left="4353" w:hanging="720"/>
      </w:pPr>
      <w:rPr>
        <w:rFonts w:hint="default"/>
      </w:rPr>
    </w:lvl>
    <w:lvl w:ilvl="5" w:tplc="5B3092B0">
      <w:numFmt w:val="bullet"/>
      <w:lvlText w:val="•"/>
      <w:lvlJc w:val="left"/>
      <w:pPr>
        <w:ind w:left="5257" w:hanging="720"/>
      </w:pPr>
      <w:rPr>
        <w:rFonts w:hint="default"/>
      </w:rPr>
    </w:lvl>
    <w:lvl w:ilvl="6" w:tplc="0B2CD232">
      <w:numFmt w:val="bullet"/>
      <w:lvlText w:val="•"/>
      <w:lvlJc w:val="left"/>
      <w:pPr>
        <w:ind w:left="6162" w:hanging="720"/>
      </w:pPr>
      <w:rPr>
        <w:rFonts w:hint="default"/>
      </w:rPr>
    </w:lvl>
    <w:lvl w:ilvl="7" w:tplc="7EB0BF9C">
      <w:numFmt w:val="bullet"/>
      <w:lvlText w:val="•"/>
      <w:lvlJc w:val="left"/>
      <w:pPr>
        <w:ind w:left="7066" w:hanging="720"/>
      </w:pPr>
      <w:rPr>
        <w:rFonts w:hint="default"/>
      </w:rPr>
    </w:lvl>
    <w:lvl w:ilvl="8" w:tplc="439282A8">
      <w:numFmt w:val="bullet"/>
      <w:lvlText w:val="•"/>
      <w:lvlJc w:val="left"/>
      <w:pPr>
        <w:ind w:left="7971" w:hanging="720"/>
      </w:pPr>
      <w:rPr>
        <w:rFonts w:hint="default"/>
      </w:rPr>
    </w:lvl>
  </w:abstractNum>
  <w:abstractNum w:abstractNumId="47" w15:restartNumberingAfterBreak="0">
    <w:nsid w:val="6E947352"/>
    <w:multiLevelType w:val="hybridMultilevel"/>
    <w:tmpl w:val="89889748"/>
    <w:lvl w:ilvl="0" w:tplc="A956D6F2">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2"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4"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7F5E161D"/>
    <w:multiLevelType w:val="multilevel"/>
    <w:tmpl w:val="19B46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6"/>
  </w:num>
  <w:num w:numId="3">
    <w:abstractNumId w:val="15"/>
  </w:num>
  <w:num w:numId="4">
    <w:abstractNumId w:val="23"/>
  </w:num>
  <w:num w:numId="5">
    <w:abstractNumId w:val="42"/>
  </w:num>
  <w:num w:numId="6">
    <w:abstractNumId w:val="21"/>
  </w:num>
  <w:num w:numId="7">
    <w:abstractNumId w:val="54"/>
  </w:num>
  <w:num w:numId="8">
    <w:abstractNumId w:val="41"/>
  </w:num>
  <w:num w:numId="9">
    <w:abstractNumId w:val="12"/>
  </w:num>
  <w:num w:numId="10">
    <w:abstractNumId w:val="3"/>
  </w:num>
  <w:num w:numId="11">
    <w:abstractNumId w:val="10"/>
  </w:num>
  <w:num w:numId="12">
    <w:abstractNumId w:val="51"/>
  </w:num>
  <w:num w:numId="13">
    <w:abstractNumId w:val="38"/>
  </w:num>
  <w:num w:numId="14">
    <w:abstractNumId w:val="32"/>
  </w:num>
  <w:num w:numId="15">
    <w:abstractNumId w:val="37"/>
  </w:num>
  <w:num w:numId="16">
    <w:abstractNumId w:val="52"/>
  </w:num>
  <w:num w:numId="17">
    <w:abstractNumId w:val="50"/>
  </w:num>
  <w:num w:numId="18">
    <w:abstractNumId w:val="24"/>
  </w:num>
  <w:num w:numId="1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9"/>
  </w:num>
  <w:num w:numId="23">
    <w:abstractNumId w:val="5"/>
  </w:num>
  <w:num w:numId="24">
    <w:abstractNumId w:val="35"/>
  </w:num>
  <w:num w:numId="25">
    <w:abstractNumId w:val="43"/>
  </w:num>
  <w:num w:numId="26">
    <w:abstractNumId w:val="26"/>
  </w:num>
  <w:num w:numId="27">
    <w:abstractNumId w:val="2"/>
  </w:num>
  <w:num w:numId="28">
    <w:abstractNumId w:val="33"/>
  </w:num>
  <w:num w:numId="29">
    <w:abstractNumId w:val="1"/>
  </w:num>
  <w:num w:numId="30">
    <w:abstractNumId w:val="48"/>
  </w:num>
  <w:num w:numId="31">
    <w:abstractNumId w:val="40"/>
  </w:num>
  <w:num w:numId="32">
    <w:abstractNumId w:val="30"/>
  </w:num>
  <w:num w:numId="33">
    <w:abstractNumId w:val="16"/>
  </w:num>
  <w:num w:numId="34">
    <w:abstractNumId w:val="11"/>
  </w:num>
  <w:num w:numId="35">
    <w:abstractNumId w:val="17"/>
  </w:num>
  <w:num w:numId="36">
    <w:abstractNumId w:val="31"/>
  </w:num>
  <w:num w:numId="37">
    <w:abstractNumId w:val="18"/>
  </w:num>
  <w:num w:numId="38">
    <w:abstractNumId w:val="25"/>
  </w:num>
  <w:num w:numId="39">
    <w:abstractNumId w:val="8"/>
  </w:num>
  <w:num w:numId="40">
    <w:abstractNumId w:val="29"/>
  </w:num>
  <w:num w:numId="41">
    <w:abstractNumId w:val="49"/>
  </w:num>
  <w:num w:numId="42">
    <w:abstractNumId w:val="20"/>
  </w:num>
  <w:num w:numId="43">
    <w:abstractNumId w:val="13"/>
  </w:num>
  <w:num w:numId="44">
    <w:abstractNumId w:val="45"/>
  </w:num>
  <w:num w:numId="45">
    <w:abstractNumId w:val="4"/>
  </w:num>
  <w:num w:numId="46">
    <w:abstractNumId w:val="44"/>
  </w:num>
  <w:num w:numId="47">
    <w:abstractNumId w:val="22"/>
  </w:num>
  <w:num w:numId="48">
    <w:abstractNumId w:val="46"/>
  </w:num>
  <w:num w:numId="49">
    <w:abstractNumId w:val="34"/>
  </w:num>
  <w:num w:numId="50">
    <w:abstractNumId w:val="19"/>
  </w:num>
  <w:num w:numId="51">
    <w:abstractNumId w:val="27"/>
  </w:num>
  <w:num w:numId="52">
    <w:abstractNumId w:val="55"/>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num>
  <w:num w:numId="55">
    <w:abstractNumId w:val="47"/>
  </w:num>
  <w:num w:numId="56">
    <w:abstractNumId w:val="14"/>
  </w:num>
  <w:num w:numId="57">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B14"/>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C7D0B"/>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B"/>
    <w:rsid w:val="000E494C"/>
    <w:rsid w:val="000E4967"/>
    <w:rsid w:val="000E49FF"/>
    <w:rsid w:val="000E5B77"/>
    <w:rsid w:val="000E5EED"/>
    <w:rsid w:val="000E6B18"/>
    <w:rsid w:val="000E70D5"/>
    <w:rsid w:val="000E7C27"/>
    <w:rsid w:val="000F043A"/>
    <w:rsid w:val="000F0EE3"/>
    <w:rsid w:val="000F1FFE"/>
    <w:rsid w:val="000F28E7"/>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6038"/>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005"/>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2E45"/>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06B0"/>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16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268"/>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EA1"/>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7BA0"/>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084"/>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056"/>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70F"/>
    <w:rsid w:val="006230CF"/>
    <w:rsid w:val="00624DA1"/>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3CEB"/>
    <w:rsid w:val="00703F98"/>
    <w:rsid w:val="00706A8A"/>
    <w:rsid w:val="00706CD8"/>
    <w:rsid w:val="007074EC"/>
    <w:rsid w:val="0071121E"/>
    <w:rsid w:val="0071159A"/>
    <w:rsid w:val="00712319"/>
    <w:rsid w:val="00712448"/>
    <w:rsid w:val="0071302C"/>
    <w:rsid w:val="0071325C"/>
    <w:rsid w:val="00713D3E"/>
    <w:rsid w:val="00714C1B"/>
    <w:rsid w:val="007152FE"/>
    <w:rsid w:val="007168C7"/>
    <w:rsid w:val="00716CAF"/>
    <w:rsid w:val="00717916"/>
    <w:rsid w:val="0072012C"/>
    <w:rsid w:val="007205DF"/>
    <w:rsid w:val="00720609"/>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404"/>
    <w:rsid w:val="00751549"/>
    <w:rsid w:val="00751CA2"/>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1306"/>
    <w:rsid w:val="008738CC"/>
    <w:rsid w:val="00873901"/>
    <w:rsid w:val="008745DC"/>
    <w:rsid w:val="00874658"/>
    <w:rsid w:val="008805C5"/>
    <w:rsid w:val="00880D6B"/>
    <w:rsid w:val="008820F7"/>
    <w:rsid w:val="00882FAC"/>
    <w:rsid w:val="00885049"/>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C1C80"/>
    <w:rsid w:val="008C309D"/>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40FC4"/>
    <w:rsid w:val="0094206A"/>
    <w:rsid w:val="0094238F"/>
    <w:rsid w:val="0094258B"/>
    <w:rsid w:val="00944002"/>
    <w:rsid w:val="0094732C"/>
    <w:rsid w:val="00947C0E"/>
    <w:rsid w:val="00947DC3"/>
    <w:rsid w:val="00950585"/>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0501"/>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1C9E"/>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27A5D"/>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5037"/>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2946"/>
    <w:rsid w:val="00AF3C2E"/>
    <w:rsid w:val="00AF3E8C"/>
    <w:rsid w:val="00AF4976"/>
    <w:rsid w:val="00AF5D27"/>
    <w:rsid w:val="00AF66CF"/>
    <w:rsid w:val="00AF6D28"/>
    <w:rsid w:val="00B013E4"/>
    <w:rsid w:val="00B022FB"/>
    <w:rsid w:val="00B04023"/>
    <w:rsid w:val="00B04432"/>
    <w:rsid w:val="00B055D4"/>
    <w:rsid w:val="00B057A3"/>
    <w:rsid w:val="00B05FEE"/>
    <w:rsid w:val="00B06484"/>
    <w:rsid w:val="00B06530"/>
    <w:rsid w:val="00B10F8E"/>
    <w:rsid w:val="00B11193"/>
    <w:rsid w:val="00B11502"/>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538"/>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5A8"/>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2D2"/>
    <w:rsid w:val="00CE1681"/>
    <w:rsid w:val="00CE273F"/>
    <w:rsid w:val="00CE2FC9"/>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697"/>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F0E"/>
    <w:rsid w:val="00DB2015"/>
    <w:rsid w:val="00DB4B94"/>
    <w:rsid w:val="00DB6722"/>
    <w:rsid w:val="00DC0D4D"/>
    <w:rsid w:val="00DC3468"/>
    <w:rsid w:val="00DC46C3"/>
    <w:rsid w:val="00DC4A76"/>
    <w:rsid w:val="00DC4CB0"/>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34B5D"/>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0"/>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1"/>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0"/>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611351546">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ome.treasury.gov/system/files/136/Emergency-rental-assistance-terms-FINAL.pdf" TargetMode="External"/><Relationship Id="rId117" Type="http://schemas.openxmlformats.org/officeDocument/2006/relationships/header" Target="header12.xml"/><Relationship Id="rId21" Type="http://schemas.openxmlformats.org/officeDocument/2006/relationships/hyperlink" Target="https://home.treasury.gov/policy-issues/coronavirus/assistance-for-state-local-and-tribal-governments/emergency-rental-assistance-program/allocations-and-payments" TargetMode="External"/><Relationship Id="rId42" Type="http://schemas.openxmlformats.org/officeDocument/2006/relationships/hyperlink" Target="2%20CFR%20Part%20200.pdf" TargetMode="External"/><Relationship Id="rId47" Type="http://schemas.openxmlformats.org/officeDocument/2006/relationships/hyperlink" Target="OMB_Part%206.pdf" TargetMode="External"/><Relationship Id="rId63" Type="http://schemas.openxmlformats.org/officeDocument/2006/relationships/hyperlink" Target="https://www.coso.org/Shared%20Documents/Framework-Executive-Summary.pdf" TargetMode="External"/><Relationship Id="rId68" Type="http://schemas.openxmlformats.org/officeDocument/2006/relationships/hyperlink" Target="https://www.gao.gov/assets/gao-14-704g.pdf" TargetMode="External"/><Relationship Id="rId84" Type="http://schemas.openxmlformats.org/officeDocument/2006/relationships/hyperlink" Target="Agency%20Adoption%20of%20the%20UG%20and%20Example%20Citations.pdf" TargetMode="External"/><Relationship Id="rId89" Type="http://schemas.openxmlformats.org/officeDocument/2006/relationships/hyperlink" Target="https://www.coso.org/Shared%20Documents/Framework-Executive-Summary.pdf" TargetMode="External"/><Relationship Id="rId112" Type="http://schemas.openxmlformats.org/officeDocument/2006/relationships/hyperlink" Target="https://checkpoint.riag.com/app/view/docPermaLink?DocID=iAICPAIGS:767.2440&amp;docTid=T0AICPAIGS:767.2440-1&amp;feature=ttoc&amp;lastCpReqId=97899&amp;tlltype=AICPAIGS:767.2668" TargetMode="External"/><Relationship Id="rId16" Type="http://schemas.openxmlformats.org/officeDocument/2006/relationships/header" Target="header1.xml"/><Relationship Id="rId107" Type="http://schemas.openxmlformats.org/officeDocument/2006/relationships/hyperlink" Target="https://home.treasury.gov/policy-issues/coronavirus/assistance-for-state-local-and-tribal-governments/emergency-rental-assistance-program/allocations-and-payments" TargetMode="External"/><Relationship Id="rId11" Type="http://schemas.openxmlformats.org/officeDocument/2006/relationships/hyperlink" Target="mailto:AOSFederal@ohioauditor.gov" TargetMode="External"/><Relationship Id="rId24" Type="http://schemas.openxmlformats.org/officeDocument/2006/relationships/hyperlink" Target="http://www.govinfo.gov/content/pkg/PLAW-117publ2/pdf/PLAW-117publ2.pdf" TargetMode="External"/><Relationship Id="rId32" Type="http://schemas.openxmlformats.org/officeDocument/2006/relationships/hyperlink" Target="https://home.treasury.gov/policy-issues/coronavirus/assistance-for-state-local-and-tribal-governments/emergency-rental-assistance-program/service-design" TargetMode="External"/><Relationship Id="rId37" Type="http://schemas.openxmlformats.org/officeDocument/2006/relationships/hyperlink" Target="https://home.treasury.gov/policy-issues/coronavirus/assistance-for-state-local-and-tribal-governments/emergency-rental-assistance-program" TargetMode="External"/><Relationship Id="rId40" Type="http://schemas.openxmlformats.org/officeDocument/2006/relationships/header" Target="header4.xml"/><Relationship Id="rId45" Type="http://schemas.openxmlformats.org/officeDocument/2006/relationships/hyperlink" Target="https://home.treasury.gov/policy-issues/coronavirus/assistance-for-American-families-and-workers/emergency-rental-assistance-program" TargetMode="External"/><Relationship Id="rId53" Type="http://schemas.openxmlformats.org/officeDocument/2006/relationships/hyperlink" Target="Appendix%20IX%20to%20Part%2075_%20Title%2045.pdf" TargetMode="External"/><Relationship Id="rId58" Type="http://schemas.openxmlformats.org/officeDocument/2006/relationships/hyperlink" Target="https://home.treasury.gov/system/files/136/ERA2_Grantee_Award_Terms_572021.pdf" TargetMode="External"/><Relationship Id="rId66" Type="http://schemas.openxmlformats.org/officeDocument/2006/relationships/hyperlink" Target="OMB_Part%206.pdf" TargetMode="External"/><Relationship Id="rId74" Type="http://schemas.openxmlformats.org/officeDocument/2006/relationships/hyperlink" Target="45%20CFR%20Part%2095.pdf" TargetMode="External"/><Relationship Id="rId79" Type="http://schemas.openxmlformats.org/officeDocument/2006/relationships/hyperlink" Target="https://www.huduser.gov/portal/datasets/fmr.html" TargetMode="External"/><Relationship Id="rId87"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02" Type="http://schemas.openxmlformats.org/officeDocument/2006/relationships/hyperlink" Target="OMB_Part%206.pdf" TargetMode="External"/><Relationship Id="rId110" Type="http://schemas.openxmlformats.org/officeDocument/2006/relationships/hyperlink" Target="https://www.gao.gov/assets/gao-14-704g.pdf" TargetMode="External"/><Relationship Id="rId115" Type="http://schemas.openxmlformats.org/officeDocument/2006/relationships/hyperlink" Target="OMB_Appendix%20II.pdf" TargetMode="External"/><Relationship Id="rId5" Type="http://schemas.openxmlformats.org/officeDocument/2006/relationships/numbering" Target="numbering.xml"/><Relationship Id="rId61" Type="http://schemas.openxmlformats.org/officeDocument/2006/relationships/hyperlink" Target="https://www.gao.gov/assets/gao-14-704g.pdf" TargetMode="External"/><Relationship Id="rId82" Type="http://schemas.openxmlformats.org/officeDocument/2006/relationships/hyperlink" Target="https://www.gao.gov/assets/gao-14-704g.pdf" TargetMode="External"/><Relationship Id="rId90" Type="http://schemas.openxmlformats.org/officeDocument/2006/relationships/hyperlink" Target="https://www.gao.gov/assets/gao-14-704g.pdf" TargetMode="External"/><Relationship Id="rId95" Type="http://schemas.openxmlformats.org/officeDocument/2006/relationships/hyperlink" Target="https://www.cfo.gov/wp-content/uploads/2014/12/Agency-Exceptions.pdf" TargetMode="External"/><Relationship Id="rId19" Type="http://schemas.openxmlformats.org/officeDocument/2006/relationships/hyperlink" Target="OMB_Part%206.pdf" TargetMode="External"/><Relationship Id="rId14" Type="http://schemas.openxmlformats.org/officeDocument/2006/relationships/hyperlink" Target="OMB_Appendix%20II.pdf" TargetMode="External"/><Relationship Id="rId22" Type="http://schemas.openxmlformats.org/officeDocument/2006/relationships/hyperlink" Target="https://home.treasury.gov/policy-issues/coronavirus/assistance-for-state-local-and-tribal-governments/emergency-rental-assistance-program/allocations-and-payments" TargetMode="External"/><Relationship Id="rId27" Type="http://schemas.openxmlformats.org/officeDocument/2006/relationships/hyperlink" Target="https://home.treasury.gov/system/files/136/ERA2_Grantee_Award_Terms_572021.pdf" TargetMode="External"/><Relationship Id="rId30" Type="http://schemas.openxmlformats.org/officeDocument/2006/relationships/hyperlink" Target="https://home.treasury.gov/system/files/136/ERA2-Reallocation-Guidance-March-30-%202022.pdf" TargetMode="External"/><Relationship Id="rId35" Type="http://schemas.openxmlformats.org/officeDocument/2006/relationships/header" Target="header3.xml"/><Relationship Id="rId43" Type="http://schemas.openxmlformats.org/officeDocument/2006/relationships/hyperlink" Target="https://www.cfo.gov/wp-content/uploads/2014/12/Agency-Exceptions.pdf" TargetMode="External"/><Relationship Id="rId48" Type="http://schemas.openxmlformats.org/officeDocument/2006/relationships/hyperlink" Target="https://www.coso.org/Shared%20Documents/Framework-Executive-Summary.pdf" TargetMode="External"/><Relationship Id="rId56" Type="http://schemas.openxmlformats.org/officeDocument/2006/relationships/hyperlink" Target="Selected_Items_of_Cost_Part_3_ComplianceSupplement.pdf" TargetMode="External"/><Relationship Id="rId64" Type="http://schemas.openxmlformats.org/officeDocument/2006/relationships/hyperlink" Target="https://www.gao.gov/assets/gao-14-704g.pdf" TargetMode="External"/><Relationship Id="rId69" Type="http://schemas.openxmlformats.org/officeDocument/2006/relationships/hyperlink" Target="45%20CFR%20Part%2095.pdf" TargetMode="External"/><Relationship Id="rId77" Type="http://schemas.openxmlformats.org/officeDocument/2006/relationships/hyperlink" Target="https://home.treasury.gov/system/files/136/Eviction-Moratorium-Joint-Letter.pdf" TargetMode="External"/><Relationship Id="rId100" Type="http://schemas.openxmlformats.org/officeDocument/2006/relationships/hyperlink" Target="https://www.gao.gov/assets/gao-14-704g.pdf" TargetMode="External"/><Relationship Id="rId105" Type="http://schemas.openxmlformats.org/officeDocument/2006/relationships/header" Target="header10.xml"/><Relationship Id="rId113" Type="http://schemas.openxmlformats.org/officeDocument/2006/relationships/image" Target="media/image2.gif"/><Relationship Id="rId11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Agency%20Adoption%20of%20the%20UG%20and%20Example%20Citations.pdf" TargetMode="External"/><Relationship Id="rId72" Type="http://schemas.openxmlformats.org/officeDocument/2006/relationships/hyperlink" Target="https://www.gao.gov/assets/gao-14-704g.pdf" TargetMode="External"/><Relationship Id="rId80" Type="http://schemas.openxmlformats.org/officeDocument/2006/relationships/hyperlink" Target="OMB_Part%206.pdf" TargetMode="External"/><Relationship Id="rId85" Type="http://schemas.openxmlformats.org/officeDocument/2006/relationships/hyperlink" Target="2%20CFR%20Part%20200.pdf" TargetMode="External"/><Relationship Id="rId93" Type="http://schemas.openxmlformats.org/officeDocument/2006/relationships/hyperlink" Target="2%20CFR%20Part%20200.pdf" TargetMode="External"/><Relationship Id="rId98" Type="http://schemas.openxmlformats.org/officeDocument/2006/relationships/hyperlink" Target="OMB_Part%206.pdf" TargetMode="External"/><Relationship Id="rId3" Type="http://schemas.openxmlformats.org/officeDocument/2006/relationships/customXml" Target="../customXml/item3.xml"/><Relationship Id="rId12" Type="http://schemas.openxmlformats.org/officeDocument/2006/relationships/hyperlink" Target="OMB_Appendix%20VII.pdf" TargetMode="External"/><Relationship Id="rId17" Type="http://schemas.openxmlformats.org/officeDocument/2006/relationships/hyperlink" Target="https://www.whitehouse.gov/wp-content/uploads/2022/05/2022-Compliance-Supplement_PDF_Rev_05.11.22.pdf" TargetMode="External"/><Relationship Id="rId25" Type="http://schemas.openxmlformats.org/officeDocument/2006/relationships/hyperlink" Target="http://www.govinfo.gov/content/pkg/PLAW-116publ136/pdf/PLAW-116publ136.pdf" TargetMode="External"/><Relationship Id="rId33" Type="http://schemas.openxmlformats.org/officeDocument/2006/relationships/hyperlink" Target="https://home.treasury.gov/policy-issues/coronavirus/assistance-for-state-local-and-tribal-governments/emergency-rental-assistance-program/reporting" TargetMode="External"/><Relationship Id="rId38" Type="http://schemas.openxmlformats.org/officeDocument/2006/relationships/hyperlink" Target="https://home.treasury.gov/policy-issues/coronavirus/assistance-for-state-local-and-tribal-governments/emergency-rental-assistance-program/allocations-and-payments" TargetMode="External"/><Relationship Id="rId46" Type="http://schemas.openxmlformats.org/officeDocument/2006/relationships/hyperlink" Target="https://home.treasury.gov/system/files/136/ERA-FAQ-8-25-2021.pdf" TargetMode="External"/><Relationship Id="rId59" Type="http://schemas.openxmlformats.org/officeDocument/2006/relationships/hyperlink" Target="OMB_Part%206.pdf" TargetMode="External"/><Relationship Id="rId67" Type="http://schemas.openxmlformats.org/officeDocument/2006/relationships/hyperlink" Target="https://www.coso.org/Shared%20Documents/Framework-Executive-Summary.pdf" TargetMode="External"/><Relationship Id="rId103" Type="http://schemas.openxmlformats.org/officeDocument/2006/relationships/hyperlink" Target="https://www.coso.org/Shared%20Documents/Framework-Executive-Summary.pdf" TargetMode="External"/><Relationship Id="rId108" Type="http://schemas.openxmlformats.org/officeDocument/2006/relationships/hyperlink" Target="OMB_Part%206.pdf" TargetMode="External"/><Relationship Id="rId116" Type="http://schemas.openxmlformats.org/officeDocument/2006/relationships/hyperlink" Target="https://www.cfo.gov/wp-content/uploads/2014/12/Agency-Exceptions.pdf" TargetMode="External"/><Relationship Id="rId20" Type="http://schemas.openxmlformats.org/officeDocument/2006/relationships/hyperlink" Target="https://home.treasury.gov/system/files/136/ERA-FAQ-8-25-2021.pdf" TargetMode="External"/><Relationship Id="rId41" Type="http://schemas.openxmlformats.org/officeDocument/2006/relationships/hyperlink" Target="Agency%20Adoption%20of%20the%20UG%20and%20Example%20Citations.pdf" TargetMode="External"/><Relationship Id="rId54" Type="http://schemas.openxmlformats.org/officeDocument/2006/relationships/hyperlink" Target="https://www.cfo.gov/wp-content/uploads/2014/12/Agency-Exceptions.pdf" TargetMode="External"/><Relationship Id="rId62" Type="http://schemas.openxmlformats.org/officeDocument/2006/relationships/hyperlink" Target="OMB_Part%206.pdf" TargetMode="External"/><Relationship Id="rId70" Type="http://schemas.openxmlformats.org/officeDocument/2006/relationships/hyperlink" Target="OMB_Part%206.pdf" TargetMode="External"/><Relationship Id="rId75" Type="http://schemas.openxmlformats.org/officeDocument/2006/relationships/hyperlink" Target="Cost%20Principles%20for%20Nonprofit%20Organizations.pdf" TargetMode="External"/><Relationship Id="rId83" Type="http://schemas.openxmlformats.org/officeDocument/2006/relationships/header" Target="header7.xml"/><Relationship Id="rId88" Type="http://schemas.openxmlformats.org/officeDocument/2006/relationships/hyperlink" Target="OMB_Part%206.pdf" TargetMode="External"/><Relationship Id="rId91" Type="http://schemas.openxmlformats.org/officeDocument/2006/relationships/header" Target="header8.xml"/><Relationship Id="rId96"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1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Agency%20Adoption%20of%20the%20UG%20and%20Example%20Citations.pdf" TargetMode="External"/><Relationship Id="rId23" Type="http://schemas.openxmlformats.org/officeDocument/2006/relationships/hyperlink" Target="https://www.govinfo.gov/content/pkg/PLAW-116publ260/pdf/PLAW-116publ260.pdf" TargetMode="External"/><Relationship Id="rId28" Type="http://schemas.openxmlformats.org/officeDocument/2006/relationships/hyperlink" Target="https://home.treasury.gov/system/files/136/ERA-FAQ-8-25-2021.pdf" TargetMode="External"/><Relationship Id="rId36" Type="http://schemas.openxmlformats.org/officeDocument/2006/relationships/hyperlink" Target="https://home.treasury.gov/policy-issues/coronavirus/assistance-for-state-local-and-tribal-governments/emergency-rental-assistance-program/allocations-and-payments" TargetMode="External"/><Relationship Id="rId49" Type="http://schemas.openxmlformats.org/officeDocument/2006/relationships/hyperlink" Target="https://www.gao.gov/assets/gao-14-704g.pdf" TargetMode="External"/><Relationship Id="rId57" Type="http://schemas.openxmlformats.org/officeDocument/2006/relationships/hyperlink" Target="https://home.treasury.gov/system/files/136/Emergency-rental-assistance-terms-FINAL.pdf" TargetMode="External"/><Relationship Id="rId106" Type="http://schemas.openxmlformats.org/officeDocument/2006/relationships/hyperlink" Target="mailto:EmergencyRentalAssistance@Treasury.gov" TargetMode="External"/><Relationship Id="rId114" Type="http://schemas.openxmlformats.org/officeDocument/2006/relationships/hyperlink" Target="2%20CFR%20Part%20200.pdf" TargetMode="Externa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home.treasury.gov/policy-issues/coronavirus/assistance-for-state-local-and-tribal-governments/emergency-rental-assistance-program/promising-practices" TargetMode="External"/><Relationship Id="rId44"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52" Type="http://schemas.openxmlformats.org/officeDocument/2006/relationships/hyperlink" Target="2%20CFR%20Part%20200.pdf" TargetMode="External"/><Relationship Id="rId60" Type="http://schemas.openxmlformats.org/officeDocument/2006/relationships/hyperlink" Target="https://www.coso.org/Shared%20Documents/Framework-Executive-Summary.pdf" TargetMode="External"/><Relationship Id="rId65" Type="http://schemas.openxmlformats.org/officeDocument/2006/relationships/hyperlink" Target="Testing%20the%20ICRP%20discussion.pdf" TargetMode="External"/><Relationship Id="rId73" Type="http://schemas.openxmlformats.org/officeDocument/2006/relationships/hyperlink" Target="45%20CFR%20Part%2095.pdf" TargetMode="External"/><Relationship Id="rId78" Type="http://schemas.openxmlformats.org/officeDocument/2006/relationships/hyperlink" Target="https://home.treasury.gov/system/files/136/ERA-FAQ-8-25-2021.pdf" TargetMode="External"/><Relationship Id="rId81" Type="http://schemas.openxmlformats.org/officeDocument/2006/relationships/hyperlink" Target="https://www.coso.org/Shared%20Documents/Framework-Executive-Summary.pdf" TargetMode="External"/><Relationship Id="rId86" Type="http://schemas.openxmlformats.org/officeDocument/2006/relationships/hyperlink" Target="https://www.cfo.gov/wp-content/uploads/2014/12/Agency-Exceptions.pdf" TargetMode="External"/><Relationship Id="rId94" Type="http://schemas.openxmlformats.org/officeDocument/2006/relationships/hyperlink" Target="https://www.usaspending.gov/search" TargetMode="External"/><Relationship Id="rId99" Type="http://schemas.openxmlformats.org/officeDocument/2006/relationships/hyperlink" Target="https://www.coso.org/Shared%20Documents/Framework-Executive-Summary.pdf" TargetMode="External"/><Relationship Id="rId10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http://www.ohioauditor.gov/references/practiceaids.html" TargetMode="External"/><Relationship Id="rId109" Type="http://schemas.openxmlformats.org/officeDocument/2006/relationships/hyperlink" Target="https://www.coso.org/Shared%20Documents/Framework-Executive-Summary.pdf" TargetMode="External"/><Relationship Id="rId34" Type="http://schemas.openxmlformats.org/officeDocument/2006/relationships/hyperlink" Target="https://home.treasury.gov/policy-issues/coronavirus/assistance-for-state-local-and-tribal-governments/emergency-rental-assistance-program/fraud" TargetMode="External"/><Relationship Id="rId50" Type="http://schemas.openxmlformats.org/officeDocument/2006/relationships/header" Target="header5.xml"/><Relationship Id="rId55"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76" Type="http://schemas.openxmlformats.org/officeDocument/2006/relationships/header" Target="header6.xml"/><Relationship Id="rId97" Type="http://schemas.openxmlformats.org/officeDocument/2006/relationships/hyperlink" Target="mailto:EmergencyRentalAssistance@Treasury.gov" TargetMode="External"/><Relationship Id="rId104" Type="http://schemas.openxmlformats.org/officeDocument/2006/relationships/hyperlink" Target="https://www.gao.gov/assets/gao-14-704g.pdf" TargetMode="External"/><Relationship Id="rId7" Type="http://schemas.openxmlformats.org/officeDocument/2006/relationships/settings" Target="settings.xml"/><Relationship Id="rId71" Type="http://schemas.openxmlformats.org/officeDocument/2006/relationships/hyperlink" Target="https://www.coso.org/Shared%20Documents/Framework-Executive-Summary.pdf" TargetMode="External"/><Relationship Id="rId92" Type="http://schemas.openxmlformats.org/officeDocument/2006/relationships/hyperlink" Target="Agency%20Adoption%20of%20the%20UG%20and%20Example%20Citations.pdf" TargetMode="External"/><Relationship Id="rId2" Type="http://schemas.openxmlformats.org/officeDocument/2006/relationships/customXml" Target="../customXml/item2.xml"/><Relationship Id="rId29" Type="http://schemas.openxmlformats.org/officeDocument/2006/relationships/hyperlink" Target="https://home.treasury.gov/policy-issues/coronavirus/assistance-for-state-local-and-tribal-governments/emergency-rental-assistance-program/guidan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EE4CEAD5-0F54-441D-9957-C57457F50EE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8cc7de-4582-4402-8653-1f6c5fcb9822"/>
    <ds:schemaRef ds:uri="http://purl.org/dc/elements/1.1/"/>
    <ds:schemaRef ds:uri="http://schemas.microsoft.com/office/2006/metadata/properties"/>
    <ds:schemaRef ds:uri="7e4091d6-ac26-408d-9936-3b28227d19d9"/>
    <ds:schemaRef ds:uri="http://www.w3.org/XML/1998/namespace"/>
    <ds:schemaRef ds:uri="http://purl.org/dc/dcmitype/"/>
  </ds:schemaRefs>
</ds:datastoreItem>
</file>

<file path=customXml/itemProps4.xml><?xml version="1.0" encoding="utf-8"?>
<ds:datastoreItem xmlns:ds="http://schemas.openxmlformats.org/officeDocument/2006/customXml" ds:itemID="{BCB5E23D-3452-48A1-95FE-B4D3C973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72</Pages>
  <Words>26753</Words>
  <Characters>165917</Characters>
  <Application>Microsoft Office Word</Application>
  <DocSecurity>0</DocSecurity>
  <Lines>1382</Lines>
  <Paragraphs>384</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192286</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Kristen M. Wheeler</cp:lastModifiedBy>
  <cp:revision>3</cp:revision>
  <cp:lastPrinted>2015-07-01T17:39:00Z</cp:lastPrinted>
  <dcterms:created xsi:type="dcterms:W3CDTF">2022-10-20T12:13:00Z</dcterms:created>
  <dcterms:modified xsi:type="dcterms:W3CDTF">2022-10-20T12:25:00Z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