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1427651" w:rsidR="007814B6" w:rsidRPr="00A0464C" w:rsidRDefault="004E3890" w:rsidP="006672EA">
            <w:pPr>
              <w:jc w:val="both"/>
              <w:rPr>
                <w:rFonts w:ascii="Arial" w:hAnsi="Arial" w:cs="Arial"/>
                <w:sz w:val="24"/>
                <w:szCs w:val="24"/>
              </w:rPr>
            </w:pPr>
            <w:r>
              <w:rPr>
                <w:rFonts w:ascii="Arial" w:hAnsi="Arial" w:cs="Arial"/>
                <w:sz w:val="24"/>
                <w:szCs w:val="24"/>
              </w:rPr>
              <w:t xml:space="preserve">Block Grants for Substance </w:t>
            </w:r>
            <w:r w:rsidR="00C344C1">
              <w:rPr>
                <w:rFonts w:ascii="Arial" w:hAnsi="Arial" w:cs="Arial"/>
                <w:sz w:val="24"/>
                <w:szCs w:val="24"/>
              </w:rPr>
              <w:t>Use</w:t>
            </w:r>
            <w:r>
              <w:rPr>
                <w:rFonts w:ascii="Arial" w:hAnsi="Arial" w:cs="Arial"/>
                <w:sz w:val="24"/>
                <w:szCs w:val="24"/>
              </w:rPr>
              <w:t xml:space="preserve"> Prevention, Treatment, and Recovery Services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1EE9A899" w:rsidR="007814B6" w:rsidRPr="00A0464C" w:rsidRDefault="004E3890" w:rsidP="006672EA">
            <w:pPr>
              <w:jc w:val="both"/>
              <w:rPr>
                <w:rFonts w:ascii="Arial" w:hAnsi="Arial" w:cs="Arial"/>
                <w:sz w:val="24"/>
                <w:szCs w:val="24"/>
              </w:rPr>
            </w:pPr>
            <w:r>
              <w:rPr>
                <w:rFonts w:ascii="Arial" w:hAnsi="Arial" w:cs="Arial"/>
                <w:sz w:val="24"/>
                <w:szCs w:val="24"/>
              </w:rPr>
              <w:t>93.959</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851026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8C41C6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6B7122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1DC21F2"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7C553BE"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A53F7F"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4E80B006"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6B04A330" w14:textId="77777777" w:rsidR="004E3890" w:rsidRDefault="004E3890" w:rsidP="004E3890">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8510267"/>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8510268"/>
      <w:bookmarkEnd w:id="3"/>
      <w:r w:rsidRPr="00A0464C">
        <w:rPr>
          <w:rFonts w:cs="Arial"/>
          <w:sz w:val="24"/>
        </w:rPr>
        <w:lastRenderedPageBreak/>
        <w:t>A</w:t>
      </w:r>
      <w:r w:rsidR="00A0464C">
        <w:rPr>
          <w:rFonts w:cs="Arial"/>
          <w:sz w:val="24"/>
        </w:rPr>
        <w:t>gency Adoption of the UG and Example Citations</w:t>
      </w:r>
      <w:bookmarkEnd w:id="4"/>
    </w:p>
    <w:p w14:paraId="35D2AAD9" w14:textId="5EEDF0DD"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30FFEB78"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E673F8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8510269"/>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4D2324D5" w14:textId="2CB097C1" w:rsidR="008A151E"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8510266" w:history="1">
            <w:r w:rsidR="008A151E" w:rsidRPr="00905E87">
              <w:rPr>
                <w:rStyle w:val="Hyperlink"/>
                <w:rFonts w:cs="Arial"/>
                <w:noProof/>
              </w:rPr>
              <w:t>Important Information</w:t>
            </w:r>
            <w:r w:rsidR="008A151E">
              <w:rPr>
                <w:noProof/>
                <w:webHidden/>
              </w:rPr>
              <w:tab/>
            </w:r>
            <w:r w:rsidR="008A151E">
              <w:rPr>
                <w:noProof/>
                <w:webHidden/>
              </w:rPr>
              <w:fldChar w:fldCharType="begin"/>
            </w:r>
            <w:r w:rsidR="008A151E">
              <w:rPr>
                <w:noProof/>
                <w:webHidden/>
              </w:rPr>
              <w:instrText xml:space="preserve"> PAGEREF _Toc188510266 \h </w:instrText>
            </w:r>
            <w:r w:rsidR="008A151E">
              <w:rPr>
                <w:noProof/>
                <w:webHidden/>
              </w:rPr>
            </w:r>
            <w:r w:rsidR="008A151E">
              <w:rPr>
                <w:noProof/>
                <w:webHidden/>
              </w:rPr>
              <w:fldChar w:fldCharType="separate"/>
            </w:r>
            <w:r w:rsidR="008A151E">
              <w:rPr>
                <w:noProof/>
                <w:webHidden/>
              </w:rPr>
              <w:t>1</w:t>
            </w:r>
            <w:r w:rsidR="008A151E">
              <w:rPr>
                <w:noProof/>
                <w:webHidden/>
              </w:rPr>
              <w:fldChar w:fldCharType="end"/>
            </w:r>
          </w:hyperlink>
        </w:p>
        <w:p w14:paraId="5848E8CD" w14:textId="79D32C70"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67" w:history="1">
            <w:r w:rsidRPr="00905E87">
              <w:rPr>
                <w:rStyle w:val="Hyperlink"/>
                <w:noProof/>
              </w:rPr>
              <w:t>2024 Uniform Guidance Updates</w:t>
            </w:r>
            <w:r>
              <w:rPr>
                <w:noProof/>
                <w:webHidden/>
              </w:rPr>
              <w:tab/>
            </w:r>
            <w:r>
              <w:rPr>
                <w:noProof/>
                <w:webHidden/>
              </w:rPr>
              <w:fldChar w:fldCharType="begin"/>
            </w:r>
            <w:r>
              <w:rPr>
                <w:noProof/>
                <w:webHidden/>
              </w:rPr>
              <w:instrText xml:space="preserve"> PAGEREF _Toc188510267 \h </w:instrText>
            </w:r>
            <w:r>
              <w:rPr>
                <w:noProof/>
                <w:webHidden/>
              </w:rPr>
            </w:r>
            <w:r>
              <w:rPr>
                <w:noProof/>
                <w:webHidden/>
              </w:rPr>
              <w:fldChar w:fldCharType="separate"/>
            </w:r>
            <w:r>
              <w:rPr>
                <w:noProof/>
                <w:webHidden/>
              </w:rPr>
              <w:t>2</w:t>
            </w:r>
            <w:r>
              <w:rPr>
                <w:noProof/>
                <w:webHidden/>
              </w:rPr>
              <w:fldChar w:fldCharType="end"/>
            </w:r>
          </w:hyperlink>
        </w:p>
        <w:p w14:paraId="0017F01F" w14:textId="14EB3ED9"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68" w:history="1">
            <w:r w:rsidRPr="00905E87">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_Toc188510268 \h </w:instrText>
            </w:r>
            <w:r>
              <w:rPr>
                <w:noProof/>
                <w:webHidden/>
              </w:rPr>
            </w:r>
            <w:r>
              <w:rPr>
                <w:noProof/>
                <w:webHidden/>
              </w:rPr>
              <w:fldChar w:fldCharType="separate"/>
            </w:r>
            <w:r>
              <w:rPr>
                <w:noProof/>
                <w:webHidden/>
              </w:rPr>
              <w:t>3</w:t>
            </w:r>
            <w:r>
              <w:rPr>
                <w:noProof/>
                <w:webHidden/>
              </w:rPr>
              <w:fldChar w:fldCharType="end"/>
            </w:r>
          </w:hyperlink>
        </w:p>
        <w:p w14:paraId="31637B1A" w14:textId="2C2611A3"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69" w:history="1">
            <w:r w:rsidRPr="00905E87">
              <w:rPr>
                <w:rStyle w:val="Hyperlink"/>
                <w:rFonts w:cs="Arial"/>
                <w:noProof/>
              </w:rPr>
              <w:t>Table of Contents</w:t>
            </w:r>
            <w:r>
              <w:rPr>
                <w:noProof/>
                <w:webHidden/>
              </w:rPr>
              <w:tab/>
            </w:r>
            <w:r>
              <w:rPr>
                <w:noProof/>
                <w:webHidden/>
              </w:rPr>
              <w:fldChar w:fldCharType="begin"/>
            </w:r>
            <w:r>
              <w:rPr>
                <w:noProof/>
                <w:webHidden/>
              </w:rPr>
              <w:instrText xml:space="preserve"> PAGEREF _Toc188510269 \h </w:instrText>
            </w:r>
            <w:r>
              <w:rPr>
                <w:noProof/>
                <w:webHidden/>
              </w:rPr>
            </w:r>
            <w:r>
              <w:rPr>
                <w:noProof/>
                <w:webHidden/>
              </w:rPr>
              <w:fldChar w:fldCharType="separate"/>
            </w:r>
            <w:r>
              <w:rPr>
                <w:noProof/>
                <w:webHidden/>
              </w:rPr>
              <w:t>4</w:t>
            </w:r>
            <w:r>
              <w:rPr>
                <w:noProof/>
                <w:webHidden/>
              </w:rPr>
              <w:fldChar w:fldCharType="end"/>
            </w:r>
          </w:hyperlink>
        </w:p>
        <w:p w14:paraId="507663DF" w14:textId="6F6DA165"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70" w:history="1">
            <w:r w:rsidRPr="00905E87">
              <w:rPr>
                <w:rStyle w:val="Hyperlink"/>
                <w:rFonts w:cs="Arial"/>
                <w:noProof/>
              </w:rPr>
              <w:t>Compliance Requirement Matrix</w:t>
            </w:r>
            <w:r>
              <w:rPr>
                <w:noProof/>
                <w:webHidden/>
              </w:rPr>
              <w:tab/>
            </w:r>
            <w:r>
              <w:rPr>
                <w:noProof/>
                <w:webHidden/>
              </w:rPr>
              <w:fldChar w:fldCharType="begin"/>
            </w:r>
            <w:r>
              <w:rPr>
                <w:noProof/>
                <w:webHidden/>
              </w:rPr>
              <w:instrText xml:space="preserve"> PAGEREF _Toc188510270 \h </w:instrText>
            </w:r>
            <w:r>
              <w:rPr>
                <w:noProof/>
                <w:webHidden/>
              </w:rPr>
            </w:r>
            <w:r>
              <w:rPr>
                <w:noProof/>
                <w:webHidden/>
              </w:rPr>
              <w:fldChar w:fldCharType="separate"/>
            </w:r>
            <w:r>
              <w:rPr>
                <w:noProof/>
                <w:webHidden/>
              </w:rPr>
              <w:t>6</w:t>
            </w:r>
            <w:r>
              <w:rPr>
                <w:noProof/>
                <w:webHidden/>
              </w:rPr>
              <w:fldChar w:fldCharType="end"/>
            </w:r>
          </w:hyperlink>
        </w:p>
        <w:p w14:paraId="68E237CD" w14:textId="2E272938"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71" w:history="1">
            <w:r w:rsidRPr="00905E87">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_Toc188510271 \h </w:instrText>
            </w:r>
            <w:r>
              <w:rPr>
                <w:noProof/>
                <w:webHidden/>
              </w:rPr>
            </w:r>
            <w:r>
              <w:rPr>
                <w:noProof/>
                <w:webHidden/>
              </w:rPr>
              <w:fldChar w:fldCharType="separate"/>
            </w:r>
            <w:r>
              <w:rPr>
                <w:noProof/>
                <w:webHidden/>
              </w:rPr>
              <w:t>10</w:t>
            </w:r>
            <w:r>
              <w:rPr>
                <w:noProof/>
                <w:webHidden/>
              </w:rPr>
              <w:fldChar w:fldCharType="end"/>
            </w:r>
          </w:hyperlink>
        </w:p>
        <w:p w14:paraId="4983B2DA" w14:textId="683AC62E"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72" w:history="1">
            <w:r w:rsidRPr="00905E87">
              <w:rPr>
                <w:rStyle w:val="Hyperlink"/>
                <w:rFonts w:cs="Arial"/>
                <w:noProof/>
              </w:rPr>
              <w:t>I. Program Objectives</w:t>
            </w:r>
            <w:r>
              <w:rPr>
                <w:noProof/>
                <w:webHidden/>
              </w:rPr>
              <w:tab/>
            </w:r>
            <w:r>
              <w:rPr>
                <w:noProof/>
                <w:webHidden/>
              </w:rPr>
              <w:fldChar w:fldCharType="begin"/>
            </w:r>
            <w:r>
              <w:rPr>
                <w:noProof/>
                <w:webHidden/>
              </w:rPr>
              <w:instrText xml:space="preserve"> PAGEREF _Toc188510272 \h </w:instrText>
            </w:r>
            <w:r>
              <w:rPr>
                <w:noProof/>
                <w:webHidden/>
              </w:rPr>
            </w:r>
            <w:r>
              <w:rPr>
                <w:noProof/>
                <w:webHidden/>
              </w:rPr>
              <w:fldChar w:fldCharType="separate"/>
            </w:r>
            <w:r>
              <w:rPr>
                <w:noProof/>
                <w:webHidden/>
              </w:rPr>
              <w:t>10</w:t>
            </w:r>
            <w:r>
              <w:rPr>
                <w:noProof/>
                <w:webHidden/>
              </w:rPr>
              <w:fldChar w:fldCharType="end"/>
            </w:r>
          </w:hyperlink>
        </w:p>
        <w:p w14:paraId="5C7126F1" w14:textId="23FC4B94"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73" w:history="1">
            <w:r w:rsidRPr="00905E87">
              <w:rPr>
                <w:rStyle w:val="Hyperlink"/>
                <w:rFonts w:cs="Arial"/>
                <w:noProof/>
              </w:rPr>
              <w:t>II. Program Procedures</w:t>
            </w:r>
            <w:r>
              <w:rPr>
                <w:noProof/>
                <w:webHidden/>
              </w:rPr>
              <w:tab/>
            </w:r>
            <w:r>
              <w:rPr>
                <w:noProof/>
                <w:webHidden/>
              </w:rPr>
              <w:fldChar w:fldCharType="begin"/>
            </w:r>
            <w:r>
              <w:rPr>
                <w:noProof/>
                <w:webHidden/>
              </w:rPr>
              <w:instrText xml:space="preserve"> PAGEREF _Toc188510273 \h </w:instrText>
            </w:r>
            <w:r>
              <w:rPr>
                <w:noProof/>
                <w:webHidden/>
              </w:rPr>
            </w:r>
            <w:r>
              <w:rPr>
                <w:noProof/>
                <w:webHidden/>
              </w:rPr>
              <w:fldChar w:fldCharType="separate"/>
            </w:r>
            <w:r>
              <w:rPr>
                <w:noProof/>
                <w:webHidden/>
              </w:rPr>
              <w:t>10</w:t>
            </w:r>
            <w:r>
              <w:rPr>
                <w:noProof/>
                <w:webHidden/>
              </w:rPr>
              <w:fldChar w:fldCharType="end"/>
            </w:r>
          </w:hyperlink>
        </w:p>
        <w:p w14:paraId="7BEFCBE8" w14:textId="66B0CD6E"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74" w:history="1">
            <w:r w:rsidRPr="00905E87">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_Toc188510274 \h </w:instrText>
            </w:r>
            <w:r>
              <w:rPr>
                <w:noProof/>
                <w:webHidden/>
              </w:rPr>
            </w:r>
            <w:r>
              <w:rPr>
                <w:noProof/>
                <w:webHidden/>
              </w:rPr>
              <w:fldChar w:fldCharType="separate"/>
            </w:r>
            <w:r>
              <w:rPr>
                <w:noProof/>
                <w:webHidden/>
              </w:rPr>
              <w:t>11</w:t>
            </w:r>
            <w:r>
              <w:rPr>
                <w:noProof/>
                <w:webHidden/>
              </w:rPr>
              <w:fldChar w:fldCharType="end"/>
            </w:r>
          </w:hyperlink>
        </w:p>
        <w:p w14:paraId="396E73C0" w14:textId="3E25F92A"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75" w:history="1">
            <w:r w:rsidRPr="00905E87">
              <w:rPr>
                <w:rStyle w:val="Hyperlink"/>
                <w:rFonts w:cs="Arial"/>
                <w:noProof/>
              </w:rPr>
              <w:t>IV. Other Information</w:t>
            </w:r>
            <w:r>
              <w:rPr>
                <w:noProof/>
                <w:webHidden/>
              </w:rPr>
              <w:tab/>
            </w:r>
            <w:r>
              <w:rPr>
                <w:noProof/>
                <w:webHidden/>
              </w:rPr>
              <w:fldChar w:fldCharType="begin"/>
            </w:r>
            <w:r>
              <w:rPr>
                <w:noProof/>
                <w:webHidden/>
              </w:rPr>
              <w:instrText xml:space="preserve"> PAGEREF _Toc188510275 \h </w:instrText>
            </w:r>
            <w:r>
              <w:rPr>
                <w:noProof/>
                <w:webHidden/>
              </w:rPr>
            </w:r>
            <w:r>
              <w:rPr>
                <w:noProof/>
                <w:webHidden/>
              </w:rPr>
              <w:fldChar w:fldCharType="separate"/>
            </w:r>
            <w:r>
              <w:rPr>
                <w:noProof/>
                <w:webHidden/>
              </w:rPr>
              <w:t>11</w:t>
            </w:r>
            <w:r>
              <w:rPr>
                <w:noProof/>
                <w:webHidden/>
              </w:rPr>
              <w:fldChar w:fldCharType="end"/>
            </w:r>
          </w:hyperlink>
        </w:p>
        <w:p w14:paraId="5D5B58F3" w14:textId="462C73E0"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76" w:history="1">
            <w:r w:rsidRPr="00905E87">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_Toc188510276 \h </w:instrText>
            </w:r>
            <w:r>
              <w:rPr>
                <w:noProof/>
                <w:webHidden/>
              </w:rPr>
            </w:r>
            <w:r>
              <w:rPr>
                <w:noProof/>
                <w:webHidden/>
              </w:rPr>
              <w:fldChar w:fldCharType="separate"/>
            </w:r>
            <w:r>
              <w:rPr>
                <w:noProof/>
                <w:webHidden/>
              </w:rPr>
              <w:t>12</w:t>
            </w:r>
            <w:r>
              <w:rPr>
                <w:noProof/>
                <w:webHidden/>
              </w:rPr>
              <w:fldChar w:fldCharType="end"/>
            </w:r>
          </w:hyperlink>
        </w:p>
        <w:p w14:paraId="14705811" w14:textId="065C85E5"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77" w:history="1">
            <w:r w:rsidRPr="00905E87">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_Toc188510277 \h </w:instrText>
            </w:r>
            <w:r>
              <w:rPr>
                <w:noProof/>
                <w:webHidden/>
              </w:rPr>
            </w:r>
            <w:r>
              <w:rPr>
                <w:noProof/>
                <w:webHidden/>
              </w:rPr>
              <w:fldChar w:fldCharType="separate"/>
            </w:r>
            <w:r>
              <w:rPr>
                <w:noProof/>
                <w:webHidden/>
              </w:rPr>
              <w:t>12</w:t>
            </w:r>
            <w:r>
              <w:rPr>
                <w:noProof/>
                <w:webHidden/>
              </w:rPr>
              <w:fldChar w:fldCharType="end"/>
            </w:r>
          </w:hyperlink>
        </w:p>
        <w:p w14:paraId="34EF4C55" w14:textId="11F1DE3D"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78" w:history="1">
            <w:r w:rsidRPr="00905E87">
              <w:rPr>
                <w:rStyle w:val="Hyperlink"/>
                <w:rFonts w:cs="Arial"/>
                <w:noProof/>
              </w:rPr>
              <w:t>Reporting</w:t>
            </w:r>
            <w:r>
              <w:rPr>
                <w:noProof/>
                <w:webHidden/>
              </w:rPr>
              <w:tab/>
            </w:r>
            <w:r>
              <w:rPr>
                <w:noProof/>
                <w:webHidden/>
              </w:rPr>
              <w:fldChar w:fldCharType="begin"/>
            </w:r>
            <w:r>
              <w:rPr>
                <w:noProof/>
                <w:webHidden/>
              </w:rPr>
              <w:instrText xml:space="preserve"> PAGEREF _Toc188510278 \h </w:instrText>
            </w:r>
            <w:r>
              <w:rPr>
                <w:noProof/>
                <w:webHidden/>
              </w:rPr>
            </w:r>
            <w:r>
              <w:rPr>
                <w:noProof/>
                <w:webHidden/>
              </w:rPr>
              <w:fldChar w:fldCharType="separate"/>
            </w:r>
            <w:r>
              <w:rPr>
                <w:noProof/>
                <w:webHidden/>
              </w:rPr>
              <w:t>13</w:t>
            </w:r>
            <w:r>
              <w:rPr>
                <w:noProof/>
                <w:webHidden/>
              </w:rPr>
              <w:fldChar w:fldCharType="end"/>
            </w:r>
          </w:hyperlink>
        </w:p>
        <w:p w14:paraId="5B502FA5" w14:textId="580D192A" w:rsidR="008A151E" w:rsidRDefault="008A151E">
          <w:pPr>
            <w:pStyle w:val="TOC1"/>
            <w:rPr>
              <w:rFonts w:asciiTheme="minorHAnsi" w:eastAsiaTheme="minorEastAsia" w:hAnsiTheme="minorHAnsi" w:cstheme="minorBidi"/>
              <w:noProof/>
              <w:kern w:val="2"/>
              <w:sz w:val="24"/>
              <w:szCs w:val="24"/>
              <w14:ligatures w14:val="standardContextual"/>
            </w:rPr>
          </w:pPr>
          <w:hyperlink w:anchor="_Toc188510279" w:history="1">
            <w:r w:rsidRPr="00905E87">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_Toc188510279 \h </w:instrText>
            </w:r>
            <w:r>
              <w:rPr>
                <w:noProof/>
                <w:webHidden/>
              </w:rPr>
            </w:r>
            <w:r>
              <w:rPr>
                <w:noProof/>
                <w:webHidden/>
              </w:rPr>
              <w:fldChar w:fldCharType="separate"/>
            </w:r>
            <w:r>
              <w:rPr>
                <w:noProof/>
                <w:webHidden/>
              </w:rPr>
              <w:t>14</w:t>
            </w:r>
            <w:r>
              <w:rPr>
                <w:noProof/>
                <w:webHidden/>
              </w:rPr>
              <w:fldChar w:fldCharType="end"/>
            </w:r>
          </w:hyperlink>
        </w:p>
        <w:p w14:paraId="2E40B3D2" w14:textId="79A385E8" w:rsidR="008A151E" w:rsidRDefault="008A151E">
          <w:pPr>
            <w:pStyle w:val="TOC2"/>
            <w:rPr>
              <w:rFonts w:asciiTheme="minorHAnsi" w:eastAsiaTheme="minorEastAsia" w:hAnsiTheme="minorHAnsi" w:cstheme="minorBidi"/>
              <w:bCs w:val="0"/>
              <w:kern w:val="2"/>
              <w:sz w:val="24"/>
              <w14:ligatures w14:val="standardContextual"/>
            </w:rPr>
          </w:pPr>
          <w:hyperlink w:anchor="_Toc188510280" w:history="1">
            <w:r w:rsidRPr="00905E87">
              <w:rPr>
                <w:rStyle w:val="Hyperlink"/>
              </w:rPr>
              <w:t>A.  ACTIVITIES ALLOWED OR UNALLOWED</w:t>
            </w:r>
            <w:r>
              <w:rPr>
                <w:webHidden/>
              </w:rPr>
              <w:tab/>
            </w:r>
            <w:r>
              <w:rPr>
                <w:webHidden/>
              </w:rPr>
              <w:fldChar w:fldCharType="begin"/>
            </w:r>
            <w:r>
              <w:rPr>
                <w:webHidden/>
              </w:rPr>
              <w:instrText xml:space="preserve"> PAGEREF _Toc188510280 \h </w:instrText>
            </w:r>
            <w:r>
              <w:rPr>
                <w:webHidden/>
              </w:rPr>
            </w:r>
            <w:r>
              <w:rPr>
                <w:webHidden/>
              </w:rPr>
              <w:fldChar w:fldCharType="separate"/>
            </w:r>
            <w:r>
              <w:rPr>
                <w:webHidden/>
              </w:rPr>
              <w:t>14</w:t>
            </w:r>
            <w:r>
              <w:rPr>
                <w:webHidden/>
              </w:rPr>
              <w:fldChar w:fldCharType="end"/>
            </w:r>
          </w:hyperlink>
        </w:p>
        <w:p w14:paraId="033F41D4" w14:textId="0F2519F4"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1"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_Toc188510281 \h </w:instrText>
            </w:r>
            <w:r>
              <w:rPr>
                <w:noProof/>
                <w:webHidden/>
              </w:rPr>
            </w:r>
            <w:r>
              <w:rPr>
                <w:noProof/>
                <w:webHidden/>
              </w:rPr>
              <w:fldChar w:fldCharType="separate"/>
            </w:r>
            <w:r>
              <w:rPr>
                <w:noProof/>
                <w:webHidden/>
              </w:rPr>
              <w:t>14</w:t>
            </w:r>
            <w:r>
              <w:rPr>
                <w:noProof/>
                <w:webHidden/>
              </w:rPr>
              <w:fldChar w:fldCharType="end"/>
            </w:r>
          </w:hyperlink>
        </w:p>
        <w:p w14:paraId="2CCD20E2" w14:textId="16965556"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2"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_Toc188510282 \h </w:instrText>
            </w:r>
            <w:r>
              <w:rPr>
                <w:noProof/>
                <w:webHidden/>
              </w:rPr>
            </w:r>
            <w:r>
              <w:rPr>
                <w:noProof/>
                <w:webHidden/>
              </w:rPr>
              <w:fldChar w:fldCharType="separate"/>
            </w:r>
            <w:r>
              <w:rPr>
                <w:noProof/>
                <w:webHidden/>
              </w:rPr>
              <w:t>16</w:t>
            </w:r>
            <w:r>
              <w:rPr>
                <w:noProof/>
                <w:webHidden/>
              </w:rPr>
              <w:fldChar w:fldCharType="end"/>
            </w:r>
          </w:hyperlink>
        </w:p>
        <w:p w14:paraId="547340CA" w14:textId="78BF60D4"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3" w:history="1">
            <w:r w:rsidRPr="00905E87">
              <w:rPr>
                <w:rStyle w:val="Hyperlink"/>
                <w:noProof/>
              </w:rPr>
              <w:t>Audit Objectives and Control Testing</w:t>
            </w:r>
            <w:r>
              <w:rPr>
                <w:noProof/>
                <w:webHidden/>
              </w:rPr>
              <w:tab/>
            </w:r>
            <w:r>
              <w:rPr>
                <w:noProof/>
                <w:webHidden/>
              </w:rPr>
              <w:fldChar w:fldCharType="begin"/>
            </w:r>
            <w:r>
              <w:rPr>
                <w:noProof/>
                <w:webHidden/>
              </w:rPr>
              <w:instrText xml:space="preserve"> PAGEREF _Toc188510283 \h </w:instrText>
            </w:r>
            <w:r>
              <w:rPr>
                <w:noProof/>
                <w:webHidden/>
              </w:rPr>
            </w:r>
            <w:r>
              <w:rPr>
                <w:noProof/>
                <w:webHidden/>
              </w:rPr>
              <w:fldChar w:fldCharType="separate"/>
            </w:r>
            <w:r>
              <w:rPr>
                <w:noProof/>
                <w:webHidden/>
              </w:rPr>
              <w:t>17</w:t>
            </w:r>
            <w:r>
              <w:rPr>
                <w:noProof/>
                <w:webHidden/>
              </w:rPr>
              <w:fldChar w:fldCharType="end"/>
            </w:r>
          </w:hyperlink>
        </w:p>
        <w:p w14:paraId="6489692F" w14:textId="054D8715"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4" w:history="1">
            <w:r w:rsidRPr="00905E8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_Toc188510284 \h </w:instrText>
            </w:r>
            <w:r>
              <w:rPr>
                <w:noProof/>
                <w:webHidden/>
              </w:rPr>
            </w:r>
            <w:r>
              <w:rPr>
                <w:noProof/>
                <w:webHidden/>
              </w:rPr>
              <w:fldChar w:fldCharType="separate"/>
            </w:r>
            <w:r>
              <w:rPr>
                <w:noProof/>
                <w:webHidden/>
              </w:rPr>
              <w:t>18</w:t>
            </w:r>
            <w:r>
              <w:rPr>
                <w:noProof/>
                <w:webHidden/>
              </w:rPr>
              <w:fldChar w:fldCharType="end"/>
            </w:r>
          </w:hyperlink>
        </w:p>
        <w:p w14:paraId="06952E2F" w14:textId="3D583EEC"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5"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_Toc188510285 \h </w:instrText>
            </w:r>
            <w:r>
              <w:rPr>
                <w:noProof/>
                <w:webHidden/>
              </w:rPr>
            </w:r>
            <w:r>
              <w:rPr>
                <w:noProof/>
                <w:webHidden/>
              </w:rPr>
              <w:fldChar w:fldCharType="separate"/>
            </w:r>
            <w:r>
              <w:rPr>
                <w:noProof/>
                <w:webHidden/>
              </w:rPr>
              <w:t>18</w:t>
            </w:r>
            <w:r>
              <w:rPr>
                <w:noProof/>
                <w:webHidden/>
              </w:rPr>
              <w:fldChar w:fldCharType="end"/>
            </w:r>
          </w:hyperlink>
        </w:p>
        <w:p w14:paraId="24196917" w14:textId="7FA9C282" w:rsidR="008A151E" w:rsidRDefault="008A151E">
          <w:pPr>
            <w:pStyle w:val="TOC2"/>
            <w:rPr>
              <w:rFonts w:asciiTheme="minorHAnsi" w:eastAsiaTheme="minorEastAsia" w:hAnsiTheme="minorHAnsi" w:cstheme="minorBidi"/>
              <w:bCs w:val="0"/>
              <w:kern w:val="2"/>
              <w:sz w:val="24"/>
              <w14:ligatures w14:val="standardContextual"/>
            </w:rPr>
          </w:pPr>
          <w:hyperlink w:anchor="_Toc188510286" w:history="1">
            <w:r w:rsidRPr="00905E87">
              <w:rPr>
                <w:rStyle w:val="Hyperlink"/>
              </w:rPr>
              <w:t>B.  ALLOWABLE COSTS/COST PRINCIPLES</w:t>
            </w:r>
            <w:r>
              <w:rPr>
                <w:webHidden/>
              </w:rPr>
              <w:tab/>
            </w:r>
            <w:r>
              <w:rPr>
                <w:webHidden/>
              </w:rPr>
              <w:fldChar w:fldCharType="begin"/>
            </w:r>
            <w:r>
              <w:rPr>
                <w:webHidden/>
              </w:rPr>
              <w:instrText xml:space="preserve"> PAGEREF _Toc188510286 \h </w:instrText>
            </w:r>
            <w:r>
              <w:rPr>
                <w:webHidden/>
              </w:rPr>
            </w:r>
            <w:r>
              <w:rPr>
                <w:webHidden/>
              </w:rPr>
              <w:fldChar w:fldCharType="separate"/>
            </w:r>
            <w:r>
              <w:rPr>
                <w:webHidden/>
              </w:rPr>
              <w:t>20</w:t>
            </w:r>
            <w:r>
              <w:rPr>
                <w:webHidden/>
              </w:rPr>
              <w:fldChar w:fldCharType="end"/>
            </w:r>
          </w:hyperlink>
        </w:p>
        <w:p w14:paraId="7DE14AAE" w14:textId="58D8A6E5"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7" w:history="1">
            <w:r w:rsidRPr="00905E87">
              <w:rPr>
                <w:rStyle w:val="Hyperlink"/>
                <w:rFonts w:cs="Arial"/>
                <w:noProof/>
              </w:rPr>
              <w:t>Applicability of Cost Principles</w:t>
            </w:r>
            <w:r>
              <w:rPr>
                <w:noProof/>
                <w:webHidden/>
              </w:rPr>
              <w:tab/>
            </w:r>
            <w:r>
              <w:rPr>
                <w:noProof/>
                <w:webHidden/>
              </w:rPr>
              <w:fldChar w:fldCharType="begin"/>
            </w:r>
            <w:r>
              <w:rPr>
                <w:noProof/>
                <w:webHidden/>
              </w:rPr>
              <w:instrText xml:space="preserve"> PAGEREF _Toc188510287 \h </w:instrText>
            </w:r>
            <w:r>
              <w:rPr>
                <w:noProof/>
                <w:webHidden/>
              </w:rPr>
            </w:r>
            <w:r>
              <w:rPr>
                <w:noProof/>
                <w:webHidden/>
              </w:rPr>
              <w:fldChar w:fldCharType="separate"/>
            </w:r>
            <w:r>
              <w:rPr>
                <w:noProof/>
                <w:webHidden/>
              </w:rPr>
              <w:t>21</w:t>
            </w:r>
            <w:r>
              <w:rPr>
                <w:noProof/>
                <w:webHidden/>
              </w:rPr>
              <w:fldChar w:fldCharType="end"/>
            </w:r>
          </w:hyperlink>
        </w:p>
        <w:p w14:paraId="46FADF4F" w14:textId="77316BC3"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8"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_Toc188510288 \h </w:instrText>
            </w:r>
            <w:r>
              <w:rPr>
                <w:noProof/>
                <w:webHidden/>
              </w:rPr>
            </w:r>
            <w:r>
              <w:rPr>
                <w:noProof/>
                <w:webHidden/>
              </w:rPr>
              <w:fldChar w:fldCharType="separate"/>
            </w:r>
            <w:r>
              <w:rPr>
                <w:noProof/>
                <w:webHidden/>
              </w:rPr>
              <w:t>23</w:t>
            </w:r>
            <w:r>
              <w:rPr>
                <w:noProof/>
                <w:webHidden/>
              </w:rPr>
              <w:fldChar w:fldCharType="end"/>
            </w:r>
          </w:hyperlink>
        </w:p>
        <w:p w14:paraId="2155BB55" w14:textId="374CBD2B"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89" w:history="1">
            <w:r w:rsidRPr="00905E87">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_Toc188510289 \h </w:instrText>
            </w:r>
            <w:r>
              <w:rPr>
                <w:noProof/>
                <w:webHidden/>
              </w:rPr>
            </w:r>
            <w:r>
              <w:rPr>
                <w:noProof/>
                <w:webHidden/>
              </w:rPr>
              <w:fldChar w:fldCharType="separate"/>
            </w:r>
            <w:r>
              <w:rPr>
                <w:noProof/>
                <w:webHidden/>
              </w:rPr>
              <w:t>24</w:t>
            </w:r>
            <w:r>
              <w:rPr>
                <w:noProof/>
                <w:webHidden/>
              </w:rPr>
              <w:fldChar w:fldCharType="end"/>
            </w:r>
          </w:hyperlink>
        </w:p>
        <w:p w14:paraId="7100795A" w14:textId="17BAC31D"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0"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_Toc188510290 \h </w:instrText>
            </w:r>
            <w:r>
              <w:rPr>
                <w:noProof/>
                <w:webHidden/>
              </w:rPr>
            </w:r>
            <w:r>
              <w:rPr>
                <w:noProof/>
                <w:webHidden/>
              </w:rPr>
              <w:fldChar w:fldCharType="separate"/>
            </w:r>
            <w:r>
              <w:rPr>
                <w:noProof/>
                <w:webHidden/>
              </w:rPr>
              <w:t>24</w:t>
            </w:r>
            <w:r>
              <w:rPr>
                <w:noProof/>
                <w:webHidden/>
              </w:rPr>
              <w:fldChar w:fldCharType="end"/>
            </w:r>
          </w:hyperlink>
        </w:p>
        <w:p w14:paraId="3A3C6ADB" w14:textId="508E3A3D"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1"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_Toc188510291 \h </w:instrText>
            </w:r>
            <w:r>
              <w:rPr>
                <w:noProof/>
                <w:webHidden/>
              </w:rPr>
            </w:r>
            <w:r>
              <w:rPr>
                <w:noProof/>
                <w:webHidden/>
              </w:rPr>
              <w:fldChar w:fldCharType="separate"/>
            </w:r>
            <w:r>
              <w:rPr>
                <w:noProof/>
                <w:webHidden/>
              </w:rPr>
              <w:t>32</w:t>
            </w:r>
            <w:r>
              <w:rPr>
                <w:noProof/>
                <w:webHidden/>
              </w:rPr>
              <w:fldChar w:fldCharType="end"/>
            </w:r>
          </w:hyperlink>
        </w:p>
        <w:p w14:paraId="3ADC2275" w14:textId="0DAAA62A" w:rsidR="008A151E" w:rsidRDefault="008A151E">
          <w:pPr>
            <w:pStyle w:val="TOC2"/>
            <w:rPr>
              <w:rFonts w:asciiTheme="minorHAnsi" w:eastAsiaTheme="minorEastAsia" w:hAnsiTheme="minorHAnsi" w:cstheme="minorBidi"/>
              <w:bCs w:val="0"/>
              <w:kern w:val="2"/>
              <w:sz w:val="24"/>
              <w14:ligatures w14:val="standardContextual"/>
            </w:rPr>
          </w:pPr>
          <w:hyperlink w:anchor="_Toc188510292" w:history="1">
            <w:r w:rsidRPr="00905E87">
              <w:rPr>
                <w:rStyle w:val="Hyperlink"/>
              </w:rPr>
              <w:t>C. CASH MANAGEMENT</w:t>
            </w:r>
            <w:r>
              <w:rPr>
                <w:webHidden/>
              </w:rPr>
              <w:tab/>
            </w:r>
            <w:r>
              <w:rPr>
                <w:webHidden/>
              </w:rPr>
              <w:fldChar w:fldCharType="begin"/>
            </w:r>
            <w:r>
              <w:rPr>
                <w:webHidden/>
              </w:rPr>
              <w:instrText xml:space="preserve"> PAGEREF _Toc188510292 \h </w:instrText>
            </w:r>
            <w:r>
              <w:rPr>
                <w:webHidden/>
              </w:rPr>
            </w:r>
            <w:r>
              <w:rPr>
                <w:webHidden/>
              </w:rPr>
              <w:fldChar w:fldCharType="separate"/>
            </w:r>
            <w:r>
              <w:rPr>
                <w:webHidden/>
              </w:rPr>
              <w:t>33</w:t>
            </w:r>
            <w:r>
              <w:rPr>
                <w:webHidden/>
              </w:rPr>
              <w:fldChar w:fldCharType="end"/>
            </w:r>
          </w:hyperlink>
        </w:p>
        <w:p w14:paraId="2A22C69C" w14:textId="016961D7"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3"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_Toc188510293 \h </w:instrText>
            </w:r>
            <w:r>
              <w:rPr>
                <w:noProof/>
                <w:webHidden/>
              </w:rPr>
            </w:r>
            <w:r>
              <w:rPr>
                <w:noProof/>
                <w:webHidden/>
              </w:rPr>
              <w:fldChar w:fldCharType="separate"/>
            </w:r>
            <w:r>
              <w:rPr>
                <w:noProof/>
                <w:webHidden/>
              </w:rPr>
              <w:t>33</w:t>
            </w:r>
            <w:r>
              <w:rPr>
                <w:noProof/>
                <w:webHidden/>
              </w:rPr>
              <w:fldChar w:fldCharType="end"/>
            </w:r>
          </w:hyperlink>
        </w:p>
        <w:p w14:paraId="132A1BED" w14:textId="6CA1D813"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4"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_Toc188510294 \h </w:instrText>
            </w:r>
            <w:r>
              <w:rPr>
                <w:noProof/>
                <w:webHidden/>
              </w:rPr>
            </w:r>
            <w:r>
              <w:rPr>
                <w:noProof/>
                <w:webHidden/>
              </w:rPr>
              <w:fldChar w:fldCharType="separate"/>
            </w:r>
            <w:r>
              <w:rPr>
                <w:noProof/>
                <w:webHidden/>
              </w:rPr>
              <w:t>35</w:t>
            </w:r>
            <w:r>
              <w:rPr>
                <w:noProof/>
                <w:webHidden/>
              </w:rPr>
              <w:fldChar w:fldCharType="end"/>
            </w:r>
          </w:hyperlink>
        </w:p>
        <w:p w14:paraId="517E10FD" w14:textId="6D1B671E"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5" w:history="1">
            <w:r w:rsidRPr="00905E8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_Toc188510295 \h </w:instrText>
            </w:r>
            <w:r>
              <w:rPr>
                <w:noProof/>
                <w:webHidden/>
              </w:rPr>
            </w:r>
            <w:r>
              <w:rPr>
                <w:noProof/>
                <w:webHidden/>
              </w:rPr>
              <w:fldChar w:fldCharType="separate"/>
            </w:r>
            <w:r>
              <w:rPr>
                <w:noProof/>
                <w:webHidden/>
              </w:rPr>
              <w:t>35</w:t>
            </w:r>
            <w:r>
              <w:rPr>
                <w:noProof/>
                <w:webHidden/>
              </w:rPr>
              <w:fldChar w:fldCharType="end"/>
            </w:r>
          </w:hyperlink>
        </w:p>
        <w:p w14:paraId="6C5E9518" w14:textId="2BF2BA0D"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6" w:history="1">
            <w:r w:rsidRPr="00905E8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_Toc188510296 \h </w:instrText>
            </w:r>
            <w:r>
              <w:rPr>
                <w:noProof/>
                <w:webHidden/>
              </w:rPr>
            </w:r>
            <w:r>
              <w:rPr>
                <w:noProof/>
                <w:webHidden/>
              </w:rPr>
              <w:fldChar w:fldCharType="separate"/>
            </w:r>
            <w:r>
              <w:rPr>
                <w:noProof/>
                <w:webHidden/>
              </w:rPr>
              <w:t>37</w:t>
            </w:r>
            <w:r>
              <w:rPr>
                <w:noProof/>
                <w:webHidden/>
              </w:rPr>
              <w:fldChar w:fldCharType="end"/>
            </w:r>
          </w:hyperlink>
        </w:p>
        <w:p w14:paraId="038ABC19" w14:textId="7329DF6F"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7"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_Toc188510297 \h </w:instrText>
            </w:r>
            <w:r>
              <w:rPr>
                <w:noProof/>
                <w:webHidden/>
              </w:rPr>
            </w:r>
            <w:r>
              <w:rPr>
                <w:noProof/>
                <w:webHidden/>
              </w:rPr>
              <w:fldChar w:fldCharType="separate"/>
            </w:r>
            <w:r>
              <w:rPr>
                <w:noProof/>
                <w:webHidden/>
              </w:rPr>
              <w:t>38</w:t>
            </w:r>
            <w:r>
              <w:rPr>
                <w:noProof/>
                <w:webHidden/>
              </w:rPr>
              <w:fldChar w:fldCharType="end"/>
            </w:r>
          </w:hyperlink>
        </w:p>
        <w:p w14:paraId="7C5EC0A7" w14:textId="7934E34F" w:rsidR="008A151E" w:rsidRDefault="008A151E">
          <w:pPr>
            <w:pStyle w:val="TOC2"/>
            <w:rPr>
              <w:rFonts w:asciiTheme="minorHAnsi" w:eastAsiaTheme="minorEastAsia" w:hAnsiTheme="minorHAnsi" w:cstheme="minorBidi"/>
              <w:bCs w:val="0"/>
              <w:kern w:val="2"/>
              <w:sz w:val="24"/>
              <w14:ligatures w14:val="standardContextual"/>
            </w:rPr>
          </w:pPr>
          <w:hyperlink w:anchor="_Toc188510298" w:history="1">
            <w:r w:rsidRPr="00905E87">
              <w:rPr>
                <w:rStyle w:val="Hyperlink"/>
              </w:rPr>
              <w:t>G.  MATCHING, LEVEL OF EFFORT, EARMARKING</w:t>
            </w:r>
            <w:r>
              <w:rPr>
                <w:webHidden/>
              </w:rPr>
              <w:tab/>
            </w:r>
            <w:r>
              <w:rPr>
                <w:webHidden/>
              </w:rPr>
              <w:fldChar w:fldCharType="begin"/>
            </w:r>
            <w:r>
              <w:rPr>
                <w:webHidden/>
              </w:rPr>
              <w:instrText xml:space="preserve"> PAGEREF _Toc188510298 \h </w:instrText>
            </w:r>
            <w:r>
              <w:rPr>
                <w:webHidden/>
              </w:rPr>
            </w:r>
            <w:r>
              <w:rPr>
                <w:webHidden/>
              </w:rPr>
              <w:fldChar w:fldCharType="separate"/>
            </w:r>
            <w:r>
              <w:rPr>
                <w:webHidden/>
              </w:rPr>
              <w:t>40</w:t>
            </w:r>
            <w:r>
              <w:rPr>
                <w:webHidden/>
              </w:rPr>
              <w:fldChar w:fldCharType="end"/>
            </w:r>
          </w:hyperlink>
        </w:p>
        <w:p w14:paraId="5A11C200" w14:textId="035DE368"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299"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_Toc188510299 \h </w:instrText>
            </w:r>
            <w:r>
              <w:rPr>
                <w:noProof/>
                <w:webHidden/>
              </w:rPr>
            </w:r>
            <w:r>
              <w:rPr>
                <w:noProof/>
                <w:webHidden/>
              </w:rPr>
              <w:fldChar w:fldCharType="separate"/>
            </w:r>
            <w:r>
              <w:rPr>
                <w:noProof/>
                <w:webHidden/>
              </w:rPr>
              <w:t>40</w:t>
            </w:r>
            <w:r>
              <w:rPr>
                <w:noProof/>
                <w:webHidden/>
              </w:rPr>
              <w:fldChar w:fldCharType="end"/>
            </w:r>
          </w:hyperlink>
        </w:p>
        <w:p w14:paraId="764C533D" w14:textId="53372B95"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0"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_Toc188510300 \h </w:instrText>
            </w:r>
            <w:r>
              <w:rPr>
                <w:noProof/>
                <w:webHidden/>
              </w:rPr>
            </w:r>
            <w:r>
              <w:rPr>
                <w:noProof/>
                <w:webHidden/>
              </w:rPr>
              <w:fldChar w:fldCharType="separate"/>
            </w:r>
            <w:r>
              <w:rPr>
                <w:noProof/>
                <w:webHidden/>
              </w:rPr>
              <w:t>42</w:t>
            </w:r>
            <w:r>
              <w:rPr>
                <w:noProof/>
                <w:webHidden/>
              </w:rPr>
              <w:fldChar w:fldCharType="end"/>
            </w:r>
          </w:hyperlink>
        </w:p>
        <w:p w14:paraId="692231CF" w14:textId="6031C6C8"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1" w:history="1">
            <w:r w:rsidRPr="00905E8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_Toc188510301 \h </w:instrText>
            </w:r>
            <w:r>
              <w:rPr>
                <w:noProof/>
                <w:webHidden/>
              </w:rPr>
            </w:r>
            <w:r>
              <w:rPr>
                <w:noProof/>
                <w:webHidden/>
              </w:rPr>
              <w:fldChar w:fldCharType="separate"/>
            </w:r>
            <w:r>
              <w:rPr>
                <w:noProof/>
                <w:webHidden/>
              </w:rPr>
              <w:t>42</w:t>
            </w:r>
            <w:r>
              <w:rPr>
                <w:noProof/>
                <w:webHidden/>
              </w:rPr>
              <w:fldChar w:fldCharType="end"/>
            </w:r>
          </w:hyperlink>
        </w:p>
        <w:p w14:paraId="5FDDCCB5" w14:textId="4526568F"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2" w:history="1">
            <w:r w:rsidRPr="00905E8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_Toc188510302 \h </w:instrText>
            </w:r>
            <w:r>
              <w:rPr>
                <w:noProof/>
                <w:webHidden/>
              </w:rPr>
            </w:r>
            <w:r>
              <w:rPr>
                <w:noProof/>
                <w:webHidden/>
              </w:rPr>
              <w:fldChar w:fldCharType="separate"/>
            </w:r>
            <w:r>
              <w:rPr>
                <w:noProof/>
                <w:webHidden/>
              </w:rPr>
              <w:t>43</w:t>
            </w:r>
            <w:r>
              <w:rPr>
                <w:noProof/>
                <w:webHidden/>
              </w:rPr>
              <w:fldChar w:fldCharType="end"/>
            </w:r>
          </w:hyperlink>
        </w:p>
        <w:p w14:paraId="5B0314EB" w14:textId="60E7BBC6"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3"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_Toc188510303 \h </w:instrText>
            </w:r>
            <w:r>
              <w:rPr>
                <w:noProof/>
                <w:webHidden/>
              </w:rPr>
            </w:r>
            <w:r>
              <w:rPr>
                <w:noProof/>
                <w:webHidden/>
              </w:rPr>
              <w:fldChar w:fldCharType="separate"/>
            </w:r>
            <w:r>
              <w:rPr>
                <w:noProof/>
                <w:webHidden/>
              </w:rPr>
              <w:t>45</w:t>
            </w:r>
            <w:r>
              <w:rPr>
                <w:noProof/>
                <w:webHidden/>
              </w:rPr>
              <w:fldChar w:fldCharType="end"/>
            </w:r>
          </w:hyperlink>
        </w:p>
        <w:p w14:paraId="20465B0F" w14:textId="6A906582" w:rsidR="008A151E" w:rsidRDefault="008A151E">
          <w:pPr>
            <w:pStyle w:val="TOC2"/>
            <w:rPr>
              <w:rFonts w:asciiTheme="minorHAnsi" w:eastAsiaTheme="minorEastAsia" w:hAnsiTheme="minorHAnsi" w:cstheme="minorBidi"/>
              <w:bCs w:val="0"/>
              <w:kern w:val="2"/>
              <w:sz w:val="24"/>
              <w14:ligatures w14:val="standardContextual"/>
            </w:rPr>
          </w:pPr>
          <w:hyperlink w:anchor="_Toc188510304" w:history="1">
            <w:r w:rsidRPr="00905E87">
              <w:rPr>
                <w:rStyle w:val="Hyperlink"/>
              </w:rPr>
              <w:t>H.  PERIOD OF PERFORMANCE</w:t>
            </w:r>
            <w:r>
              <w:rPr>
                <w:webHidden/>
              </w:rPr>
              <w:tab/>
            </w:r>
            <w:r>
              <w:rPr>
                <w:webHidden/>
              </w:rPr>
              <w:fldChar w:fldCharType="begin"/>
            </w:r>
            <w:r>
              <w:rPr>
                <w:webHidden/>
              </w:rPr>
              <w:instrText xml:space="preserve"> PAGEREF _Toc188510304 \h </w:instrText>
            </w:r>
            <w:r>
              <w:rPr>
                <w:webHidden/>
              </w:rPr>
            </w:r>
            <w:r>
              <w:rPr>
                <w:webHidden/>
              </w:rPr>
              <w:fldChar w:fldCharType="separate"/>
            </w:r>
            <w:r>
              <w:rPr>
                <w:webHidden/>
              </w:rPr>
              <w:t>46</w:t>
            </w:r>
            <w:r>
              <w:rPr>
                <w:webHidden/>
              </w:rPr>
              <w:fldChar w:fldCharType="end"/>
            </w:r>
          </w:hyperlink>
        </w:p>
        <w:p w14:paraId="46200034" w14:textId="347468BE"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5"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_Toc188510305 \h </w:instrText>
            </w:r>
            <w:r>
              <w:rPr>
                <w:noProof/>
                <w:webHidden/>
              </w:rPr>
            </w:r>
            <w:r>
              <w:rPr>
                <w:noProof/>
                <w:webHidden/>
              </w:rPr>
              <w:fldChar w:fldCharType="separate"/>
            </w:r>
            <w:r>
              <w:rPr>
                <w:noProof/>
                <w:webHidden/>
              </w:rPr>
              <w:t>46</w:t>
            </w:r>
            <w:r>
              <w:rPr>
                <w:noProof/>
                <w:webHidden/>
              </w:rPr>
              <w:fldChar w:fldCharType="end"/>
            </w:r>
          </w:hyperlink>
        </w:p>
        <w:p w14:paraId="54B495BE" w14:textId="4E3881E9"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6"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_Toc188510306 \h </w:instrText>
            </w:r>
            <w:r>
              <w:rPr>
                <w:noProof/>
                <w:webHidden/>
              </w:rPr>
            </w:r>
            <w:r>
              <w:rPr>
                <w:noProof/>
                <w:webHidden/>
              </w:rPr>
              <w:fldChar w:fldCharType="separate"/>
            </w:r>
            <w:r>
              <w:rPr>
                <w:noProof/>
                <w:webHidden/>
              </w:rPr>
              <w:t>46</w:t>
            </w:r>
            <w:r>
              <w:rPr>
                <w:noProof/>
                <w:webHidden/>
              </w:rPr>
              <w:fldChar w:fldCharType="end"/>
            </w:r>
          </w:hyperlink>
        </w:p>
        <w:p w14:paraId="2EE18579" w14:textId="74041C46"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7" w:history="1">
            <w:r w:rsidRPr="00905E8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_Toc188510307 \h </w:instrText>
            </w:r>
            <w:r>
              <w:rPr>
                <w:noProof/>
                <w:webHidden/>
              </w:rPr>
            </w:r>
            <w:r>
              <w:rPr>
                <w:noProof/>
                <w:webHidden/>
              </w:rPr>
              <w:fldChar w:fldCharType="separate"/>
            </w:r>
            <w:r>
              <w:rPr>
                <w:noProof/>
                <w:webHidden/>
              </w:rPr>
              <w:t>47</w:t>
            </w:r>
            <w:r>
              <w:rPr>
                <w:noProof/>
                <w:webHidden/>
              </w:rPr>
              <w:fldChar w:fldCharType="end"/>
            </w:r>
          </w:hyperlink>
        </w:p>
        <w:p w14:paraId="1CCA3891" w14:textId="2626FF20"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8" w:history="1">
            <w:r w:rsidRPr="00905E8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_Toc188510308 \h </w:instrText>
            </w:r>
            <w:r>
              <w:rPr>
                <w:noProof/>
                <w:webHidden/>
              </w:rPr>
            </w:r>
            <w:r>
              <w:rPr>
                <w:noProof/>
                <w:webHidden/>
              </w:rPr>
              <w:fldChar w:fldCharType="separate"/>
            </w:r>
            <w:r>
              <w:rPr>
                <w:noProof/>
                <w:webHidden/>
              </w:rPr>
              <w:t>48</w:t>
            </w:r>
            <w:r>
              <w:rPr>
                <w:noProof/>
                <w:webHidden/>
              </w:rPr>
              <w:fldChar w:fldCharType="end"/>
            </w:r>
          </w:hyperlink>
        </w:p>
        <w:p w14:paraId="14E8E2B4" w14:textId="77AFF4FA"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09"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_Toc188510309 \h </w:instrText>
            </w:r>
            <w:r>
              <w:rPr>
                <w:noProof/>
                <w:webHidden/>
              </w:rPr>
            </w:r>
            <w:r>
              <w:rPr>
                <w:noProof/>
                <w:webHidden/>
              </w:rPr>
              <w:fldChar w:fldCharType="separate"/>
            </w:r>
            <w:r>
              <w:rPr>
                <w:noProof/>
                <w:webHidden/>
              </w:rPr>
              <w:t>48</w:t>
            </w:r>
            <w:r>
              <w:rPr>
                <w:noProof/>
                <w:webHidden/>
              </w:rPr>
              <w:fldChar w:fldCharType="end"/>
            </w:r>
          </w:hyperlink>
        </w:p>
        <w:p w14:paraId="454DC691" w14:textId="25EC7BF7" w:rsidR="008A151E" w:rsidRDefault="008A151E">
          <w:pPr>
            <w:pStyle w:val="TOC2"/>
            <w:rPr>
              <w:rFonts w:asciiTheme="minorHAnsi" w:eastAsiaTheme="minorEastAsia" w:hAnsiTheme="minorHAnsi" w:cstheme="minorBidi"/>
              <w:bCs w:val="0"/>
              <w:kern w:val="2"/>
              <w:sz w:val="24"/>
              <w14:ligatures w14:val="standardContextual"/>
            </w:rPr>
          </w:pPr>
          <w:hyperlink w:anchor="_Toc188510310" w:history="1">
            <w:r w:rsidRPr="00905E87">
              <w:rPr>
                <w:rStyle w:val="Hyperlink"/>
              </w:rPr>
              <w:t>L.  REPORTING</w:t>
            </w:r>
            <w:r>
              <w:rPr>
                <w:webHidden/>
              </w:rPr>
              <w:tab/>
            </w:r>
            <w:r>
              <w:rPr>
                <w:webHidden/>
              </w:rPr>
              <w:fldChar w:fldCharType="begin"/>
            </w:r>
            <w:r>
              <w:rPr>
                <w:webHidden/>
              </w:rPr>
              <w:instrText xml:space="preserve"> PAGEREF _Toc188510310 \h </w:instrText>
            </w:r>
            <w:r>
              <w:rPr>
                <w:webHidden/>
              </w:rPr>
            </w:r>
            <w:r>
              <w:rPr>
                <w:webHidden/>
              </w:rPr>
              <w:fldChar w:fldCharType="separate"/>
            </w:r>
            <w:r>
              <w:rPr>
                <w:webHidden/>
              </w:rPr>
              <w:t>50</w:t>
            </w:r>
            <w:r>
              <w:rPr>
                <w:webHidden/>
              </w:rPr>
              <w:fldChar w:fldCharType="end"/>
            </w:r>
          </w:hyperlink>
        </w:p>
        <w:p w14:paraId="53C784D6" w14:textId="465A5F69"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1"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_Toc188510311 \h </w:instrText>
            </w:r>
            <w:r>
              <w:rPr>
                <w:noProof/>
                <w:webHidden/>
              </w:rPr>
            </w:r>
            <w:r>
              <w:rPr>
                <w:noProof/>
                <w:webHidden/>
              </w:rPr>
              <w:fldChar w:fldCharType="separate"/>
            </w:r>
            <w:r>
              <w:rPr>
                <w:noProof/>
                <w:webHidden/>
              </w:rPr>
              <w:t>50</w:t>
            </w:r>
            <w:r>
              <w:rPr>
                <w:noProof/>
                <w:webHidden/>
              </w:rPr>
              <w:fldChar w:fldCharType="end"/>
            </w:r>
          </w:hyperlink>
        </w:p>
        <w:p w14:paraId="283FEF9E" w14:textId="4DEF3338"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2"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_Toc188510312 \h </w:instrText>
            </w:r>
            <w:r>
              <w:rPr>
                <w:noProof/>
                <w:webHidden/>
              </w:rPr>
            </w:r>
            <w:r>
              <w:rPr>
                <w:noProof/>
                <w:webHidden/>
              </w:rPr>
              <w:fldChar w:fldCharType="separate"/>
            </w:r>
            <w:r>
              <w:rPr>
                <w:noProof/>
                <w:webHidden/>
              </w:rPr>
              <w:t>51</w:t>
            </w:r>
            <w:r>
              <w:rPr>
                <w:noProof/>
                <w:webHidden/>
              </w:rPr>
              <w:fldChar w:fldCharType="end"/>
            </w:r>
          </w:hyperlink>
        </w:p>
        <w:p w14:paraId="37D84D20" w14:textId="2403E350"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3" w:history="1">
            <w:r w:rsidRPr="00905E8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_Toc188510313 \h </w:instrText>
            </w:r>
            <w:r>
              <w:rPr>
                <w:noProof/>
                <w:webHidden/>
              </w:rPr>
            </w:r>
            <w:r>
              <w:rPr>
                <w:noProof/>
                <w:webHidden/>
              </w:rPr>
              <w:fldChar w:fldCharType="separate"/>
            </w:r>
            <w:r>
              <w:rPr>
                <w:noProof/>
                <w:webHidden/>
              </w:rPr>
              <w:t>52</w:t>
            </w:r>
            <w:r>
              <w:rPr>
                <w:noProof/>
                <w:webHidden/>
              </w:rPr>
              <w:fldChar w:fldCharType="end"/>
            </w:r>
          </w:hyperlink>
        </w:p>
        <w:p w14:paraId="00139E78" w14:textId="56273D9D"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4" w:history="1">
            <w:r w:rsidRPr="00905E8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_Toc188510314 \h </w:instrText>
            </w:r>
            <w:r>
              <w:rPr>
                <w:noProof/>
                <w:webHidden/>
              </w:rPr>
            </w:r>
            <w:r>
              <w:rPr>
                <w:noProof/>
                <w:webHidden/>
              </w:rPr>
              <w:fldChar w:fldCharType="separate"/>
            </w:r>
            <w:r>
              <w:rPr>
                <w:noProof/>
                <w:webHidden/>
              </w:rPr>
              <w:t>53</w:t>
            </w:r>
            <w:r>
              <w:rPr>
                <w:noProof/>
                <w:webHidden/>
              </w:rPr>
              <w:fldChar w:fldCharType="end"/>
            </w:r>
          </w:hyperlink>
        </w:p>
        <w:p w14:paraId="0BB30CE8" w14:textId="1B748998"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5"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_Toc188510315 \h </w:instrText>
            </w:r>
            <w:r>
              <w:rPr>
                <w:noProof/>
                <w:webHidden/>
              </w:rPr>
            </w:r>
            <w:r>
              <w:rPr>
                <w:noProof/>
                <w:webHidden/>
              </w:rPr>
              <w:fldChar w:fldCharType="separate"/>
            </w:r>
            <w:r>
              <w:rPr>
                <w:noProof/>
                <w:webHidden/>
              </w:rPr>
              <w:t>54</w:t>
            </w:r>
            <w:r>
              <w:rPr>
                <w:noProof/>
                <w:webHidden/>
              </w:rPr>
              <w:fldChar w:fldCharType="end"/>
            </w:r>
          </w:hyperlink>
        </w:p>
        <w:p w14:paraId="6F02D34E" w14:textId="1EF58BD7" w:rsidR="008A151E" w:rsidRDefault="008A151E">
          <w:pPr>
            <w:pStyle w:val="TOC2"/>
            <w:rPr>
              <w:rFonts w:asciiTheme="minorHAnsi" w:eastAsiaTheme="minorEastAsia" w:hAnsiTheme="minorHAnsi" w:cstheme="minorBidi"/>
              <w:bCs w:val="0"/>
              <w:kern w:val="2"/>
              <w:sz w:val="24"/>
              <w14:ligatures w14:val="standardContextual"/>
            </w:rPr>
          </w:pPr>
          <w:hyperlink w:anchor="_Toc188510316" w:history="1">
            <w:r w:rsidRPr="00905E87">
              <w:rPr>
                <w:rStyle w:val="Hyperlink"/>
              </w:rPr>
              <w:t>M.  SUBRECIPIENT MONITORING</w:t>
            </w:r>
            <w:r>
              <w:rPr>
                <w:webHidden/>
              </w:rPr>
              <w:tab/>
            </w:r>
            <w:r>
              <w:rPr>
                <w:webHidden/>
              </w:rPr>
              <w:fldChar w:fldCharType="begin"/>
            </w:r>
            <w:r>
              <w:rPr>
                <w:webHidden/>
              </w:rPr>
              <w:instrText xml:space="preserve"> PAGEREF _Toc188510316 \h </w:instrText>
            </w:r>
            <w:r>
              <w:rPr>
                <w:webHidden/>
              </w:rPr>
            </w:r>
            <w:r>
              <w:rPr>
                <w:webHidden/>
              </w:rPr>
              <w:fldChar w:fldCharType="separate"/>
            </w:r>
            <w:r>
              <w:rPr>
                <w:webHidden/>
              </w:rPr>
              <w:t>56</w:t>
            </w:r>
            <w:r>
              <w:rPr>
                <w:webHidden/>
              </w:rPr>
              <w:fldChar w:fldCharType="end"/>
            </w:r>
          </w:hyperlink>
        </w:p>
        <w:p w14:paraId="5A715994" w14:textId="2A59BCC8"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7" w:history="1">
            <w:r w:rsidRPr="00905E87">
              <w:rPr>
                <w:rStyle w:val="Hyperlink"/>
                <w:rFonts w:cs="Arial"/>
                <w:noProof/>
              </w:rPr>
              <w:t>OMB Compliance Requirements</w:t>
            </w:r>
            <w:r>
              <w:rPr>
                <w:noProof/>
                <w:webHidden/>
              </w:rPr>
              <w:tab/>
            </w:r>
            <w:r>
              <w:rPr>
                <w:noProof/>
                <w:webHidden/>
              </w:rPr>
              <w:fldChar w:fldCharType="begin"/>
            </w:r>
            <w:r>
              <w:rPr>
                <w:noProof/>
                <w:webHidden/>
              </w:rPr>
              <w:instrText xml:space="preserve"> PAGEREF _Toc188510317 \h </w:instrText>
            </w:r>
            <w:r>
              <w:rPr>
                <w:noProof/>
                <w:webHidden/>
              </w:rPr>
            </w:r>
            <w:r>
              <w:rPr>
                <w:noProof/>
                <w:webHidden/>
              </w:rPr>
              <w:fldChar w:fldCharType="separate"/>
            </w:r>
            <w:r>
              <w:rPr>
                <w:noProof/>
                <w:webHidden/>
              </w:rPr>
              <w:t>56</w:t>
            </w:r>
            <w:r>
              <w:rPr>
                <w:noProof/>
                <w:webHidden/>
              </w:rPr>
              <w:fldChar w:fldCharType="end"/>
            </w:r>
          </w:hyperlink>
        </w:p>
        <w:p w14:paraId="49866F56" w14:textId="773CB5F6"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8" w:history="1">
            <w:r w:rsidRPr="00905E8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_Toc188510318 \h </w:instrText>
            </w:r>
            <w:r>
              <w:rPr>
                <w:noProof/>
                <w:webHidden/>
              </w:rPr>
            </w:r>
            <w:r>
              <w:rPr>
                <w:noProof/>
                <w:webHidden/>
              </w:rPr>
              <w:fldChar w:fldCharType="separate"/>
            </w:r>
            <w:r>
              <w:rPr>
                <w:noProof/>
                <w:webHidden/>
              </w:rPr>
              <w:t>57</w:t>
            </w:r>
            <w:r>
              <w:rPr>
                <w:noProof/>
                <w:webHidden/>
              </w:rPr>
              <w:fldChar w:fldCharType="end"/>
            </w:r>
          </w:hyperlink>
        </w:p>
        <w:p w14:paraId="456A17A6" w14:textId="2F710066"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19" w:history="1">
            <w:r w:rsidRPr="00905E8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_Toc188510319 \h </w:instrText>
            </w:r>
            <w:r>
              <w:rPr>
                <w:noProof/>
                <w:webHidden/>
              </w:rPr>
            </w:r>
            <w:r>
              <w:rPr>
                <w:noProof/>
                <w:webHidden/>
              </w:rPr>
              <w:fldChar w:fldCharType="separate"/>
            </w:r>
            <w:r>
              <w:rPr>
                <w:noProof/>
                <w:webHidden/>
              </w:rPr>
              <w:t>58</w:t>
            </w:r>
            <w:r>
              <w:rPr>
                <w:noProof/>
                <w:webHidden/>
              </w:rPr>
              <w:fldChar w:fldCharType="end"/>
            </w:r>
          </w:hyperlink>
        </w:p>
        <w:p w14:paraId="121A1A3E" w14:textId="72F48295"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20" w:history="1">
            <w:r w:rsidRPr="00905E8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_Toc188510320 \h </w:instrText>
            </w:r>
            <w:r>
              <w:rPr>
                <w:noProof/>
                <w:webHidden/>
              </w:rPr>
            </w:r>
            <w:r>
              <w:rPr>
                <w:noProof/>
                <w:webHidden/>
              </w:rPr>
              <w:fldChar w:fldCharType="separate"/>
            </w:r>
            <w:r>
              <w:rPr>
                <w:noProof/>
                <w:webHidden/>
              </w:rPr>
              <w:t>58</w:t>
            </w:r>
            <w:r>
              <w:rPr>
                <w:noProof/>
                <w:webHidden/>
              </w:rPr>
              <w:fldChar w:fldCharType="end"/>
            </w:r>
          </w:hyperlink>
        </w:p>
        <w:p w14:paraId="0E6D7553" w14:textId="4E7DA40A" w:rsidR="008A151E" w:rsidRDefault="008A151E">
          <w:pPr>
            <w:pStyle w:val="TOC3"/>
            <w:rPr>
              <w:rFonts w:asciiTheme="minorHAnsi" w:eastAsiaTheme="minorEastAsia" w:hAnsiTheme="minorHAnsi" w:cstheme="minorBidi"/>
              <w:b w:val="0"/>
              <w:noProof/>
              <w:kern w:val="2"/>
              <w:sz w:val="24"/>
              <w:szCs w:val="24"/>
              <w14:ligatures w14:val="standardContextual"/>
            </w:rPr>
          </w:pPr>
          <w:hyperlink w:anchor="_Toc188510321" w:history="1">
            <w:r w:rsidRPr="00905E87">
              <w:rPr>
                <w:rStyle w:val="Hyperlink"/>
                <w:rFonts w:cs="Arial"/>
                <w:noProof/>
              </w:rPr>
              <w:t>Audit Implications Summary</w:t>
            </w:r>
            <w:r>
              <w:rPr>
                <w:noProof/>
                <w:webHidden/>
              </w:rPr>
              <w:tab/>
            </w:r>
            <w:r>
              <w:rPr>
                <w:noProof/>
                <w:webHidden/>
              </w:rPr>
              <w:fldChar w:fldCharType="begin"/>
            </w:r>
            <w:r>
              <w:rPr>
                <w:noProof/>
                <w:webHidden/>
              </w:rPr>
              <w:instrText xml:space="preserve"> PAGEREF _Toc188510321 \h </w:instrText>
            </w:r>
            <w:r>
              <w:rPr>
                <w:noProof/>
                <w:webHidden/>
              </w:rPr>
            </w:r>
            <w:r>
              <w:rPr>
                <w:noProof/>
                <w:webHidden/>
              </w:rPr>
              <w:fldChar w:fldCharType="separate"/>
            </w:r>
            <w:r>
              <w:rPr>
                <w:noProof/>
                <w:webHidden/>
              </w:rPr>
              <w:t>59</w:t>
            </w:r>
            <w:r>
              <w:rPr>
                <w:noProof/>
                <w:webHidden/>
              </w:rPr>
              <w:fldChar w:fldCharType="end"/>
            </w:r>
          </w:hyperlink>
        </w:p>
        <w:p w14:paraId="183A987E" w14:textId="14EB6873" w:rsidR="008A151E" w:rsidRDefault="008A151E">
          <w:pPr>
            <w:pStyle w:val="TOC2"/>
            <w:rPr>
              <w:rFonts w:asciiTheme="minorHAnsi" w:eastAsiaTheme="minorEastAsia" w:hAnsiTheme="minorHAnsi" w:cstheme="minorBidi"/>
              <w:bCs w:val="0"/>
              <w:kern w:val="2"/>
              <w:sz w:val="24"/>
              <w14:ligatures w14:val="standardContextual"/>
            </w:rPr>
          </w:pPr>
          <w:hyperlink w:anchor="_Toc188510322" w:history="1">
            <w:r w:rsidRPr="00905E87">
              <w:rPr>
                <w:rStyle w:val="Hyperlink"/>
              </w:rPr>
              <w:t>Program Testing Conclusion</w:t>
            </w:r>
            <w:r>
              <w:rPr>
                <w:webHidden/>
              </w:rPr>
              <w:tab/>
            </w:r>
            <w:r>
              <w:rPr>
                <w:webHidden/>
              </w:rPr>
              <w:fldChar w:fldCharType="begin"/>
            </w:r>
            <w:r>
              <w:rPr>
                <w:webHidden/>
              </w:rPr>
              <w:instrText xml:space="preserve"> PAGEREF _Toc188510322 \h </w:instrText>
            </w:r>
            <w:r>
              <w:rPr>
                <w:webHidden/>
              </w:rPr>
            </w:r>
            <w:r>
              <w:rPr>
                <w:webHidden/>
              </w:rPr>
              <w:fldChar w:fldCharType="separate"/>
            </w:r>
            <w:r>
              <w:rPr>
                <w:webHidden/>
              </w:rPr>
              <w:t>61</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8510270"/>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2A3024DC" w:rsidR="00A3491E" w:rsidRPr="00F00D94" w:rsidRDefault="004F0BF0"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586BE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0398DBCB" w:rsidR="00A3491E" w:rsidRPr="00F00D94" w:rsidRDefault="004F0BF0"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BB48504" w:rsidR="007C67FD" w:rsidRPr="00F00D94" w:rsidRDefault="004F0B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4F0B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927E48E" w:rsidR="007C67FD" w:rsidRPr="00F00D94" w:rsidRDefault="004F0B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1395D50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761A92C2" w:rsidR="007C67FD" w:rsidRPr="00F00D94" w:rsidRDefault="007C67FD" w:rsidP="007C67FD">
            <w:pPr>
              <w:jc w:val="center"/>
              <w:rPr>
                <w:rFonts w:ascii="Arial" w:hAnsi="Arial" w:cs="Arial"/>
                <w:i/>
                <w:iCs/>
              </w:rPr>
            </w:pPr>
          </w:p>
        </w:tc>
      </w:tr>
      <w:tr w:rsidR="007C67FD" w:rsidRPr="00F00D94" w14:paraId="75696477" w14:textId="77777777" w:rsidTr="004F0B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46AAA99B" w:rsidR="007C67FD" w:rsidRPr="00F00D94" w:rsidRDefault="004F0B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747D0A2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7BFC10D3"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7392784" w:rsidR="007C67FD" w:rsidRPr="00F00D94" w:rsidRDefault="004F0B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9C51C6A" w:rsidR="007C67FD" w:rsidRPr="00F00D94" w:rsidRDefault="004F0B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4F0B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4F5E1BEF" w:rsidR="007C67FD" w:rsidRPr="00F00D94" w:rsidRDefault="004F0B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101E5C9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77D238DC" w:rsidR="007C67FD" w:rsidRPr="00F00D94" w:rsidRDefault="007C67FD" w:rsidP="007C67FD">
            <w:pPr>
              <w:jc w:val="center"/>
              <w:rPr>
                <w:rFonts w:ascii="Arial" w:hAnsi="Arial" w:cs="Arial"/>
                <w:i/>
                <w:iCs/>
              </w:rPr>
            </w:pPr>
          </w:p>
        </w:tc>
      </w:tr>
      <w:tr w:rsidR="007C67FD" w:rsidRPr="00F00D94" w14:paraId="16987E1E" w14:textId="77777777" w:rsidTr="004F0BF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6E25C540" w:rsidR="007C67FD" w:rsidRPr="00F00D94" w:rsidRDefault="004F0B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56DC385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596B7671"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0835F996" w:rsidR="007C67FD" w:rsidRPr="00F00D94" w:rsidRDefault="004F0B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DDFFB30" w:rsidR="007C67FD" w:rsidRPr="00F00D94" w:rsidRDefault="004F0BF0"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4F0BF0">
        <w:trPr>
          <w:trHeight w:val="287"/>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0E8A7807"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37295FFF" w:rsidR="007C67FD" w:rsidRPr="00F00D94" w:rsidRDefault="004F0BF0"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712B703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2A7CFFB8"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64C64374"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08206ED"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8510271"/>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8510272"/>
      <w:r w:rsidRPr="00A0464C">
        <w:rPr>
          <w:rFonts w:cs="Arial"/>
          <w:sz w:val="24"/>
          <w:szCs w:val="24"/>
        </w:rPr>
        <w:t>I. Program Objectives</w:t>
      </w:r>
      <w:bookmarkEnd w:id="17"/>
    </w:p>
    <w:p w14:paraId="262E0556" w14:textId="37D4CA2D" w:rsidR="004E3890" w:rsidRPr="004E3890" w:rsidRDefault="004E3890" w:rsidP="004E3890">
      <w:pPr>
        <w:spacing w:after="240"/>
        <w:jc w:val="both"/>
        <w:rPr>
          <w:rFonts w:ascii="Arial" w:hAnsi="Arial" w:cs="Arial"/>
          <w:bCs/>
        </w:rPr>
      </w:pPr>
      <w:r w:rsidRPr="004E3890">
        <w:rPr>
          <w:rFonts w:ascii="Arial" w:hAnsi="Arial" w:cs="Arial"/>
          <w:bCs/>
        </w:rPr>
        <w:t>The objective of the Substance Use Prevention, Treatment, and Recovery Services Block Grant (SUPTRS BG) program is to provide funds to states, territories, and one Indian tribe for planning, carrying out and evaluating activities to prevent, treat, and provide recovery services for Substance Use Disorder (SUD) and other related activities as authorized by the statute.</w:t>
      </w:r>
    </w:p>
    <w:p w14:paraId="47FBF2E8" w14:textId="4E8F7175" w:rsidR="009656BB" w:rsidRPr="00F00D94" w:rsidRDefault="004E3890" w:rsidP="004E3890">
      <w:pPr>
        <w:spacing w:after="240"/>
        <w:jc w:val="both"/>
        <w:rPr>
          <w:rFonts w:ascii="Arial" w:hAnsi="Arial" w:cs="Arial"/>
          <w:bCs/>
        </w:rPr>
      </w:pPr>
      <w:r w:rsidRPr="004E3890">
        <w:rPr>
          <w:rFonts w:ascii="Arial" w:hAnsi="Arial" w:cs="Arial"/>
          <w:bCs/>
        </w:rPr>
        <w:t>The SUPTRS BG is the primary tool the federal government uses to fund state SUD prevention, treatment, and recovery services programs. While the SUPTRS BG provides federal support to addiction prevention, treatment, and recovery services nationally, it empowers the states to design solutions to specific addiction problems that are experienced locally.</w:t>
      </w:r>
    </w:p>
    <w:p w14:paraId="27A28DF7" w14:textId="69774885" w:rsidR="009656BB" w:rsidRPr="00F00D94" w:rsidRDefault="004E3890" w:rsidP="006672EA">
      <w:pPr>
        <w:spacing w:after="240"/>
        <w:jc w:val="both"/>
        <w:rPr>
          <w:rFonts w:ascii="Arial" w:hAnsi="Arial" w:cs="Arial"/>
          <w:bCs/>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w:t>
      </w:r>
      <w:r>
        <w:rPr>
          <w:rFonts w:ascii="Arial" w:hAnsi="Arial" w:cs="Arial"/>
          <w:bCs/>
          <w:i/>
        </w:rPr>
        <w:t xml:space="preserve">se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222D14D9" w14:textId="77777777" w:rsidR="009656BB" w:rsidRPr="00A0464C" w:rsidRDefault="009656BB" w:rsidP="006672EA">
      <w:pPr>
        <w:pStyle w:val="Heading3"/>
        <w:jc w:val="both"/>
        <w:rPr>
          <w:rFonts w:cs="Arial"/>
          <w:sz w:val="24"/>
          <w:szCs w:val="24"/>
        </w:rPr>
      </w:pPr>
      <w:bookmarkStart w:id="18" w:name="_Toc188510273"/>
      <w:r w:rsidRPr="00A0464C">
        <w:rPr>
          <w:rFonts w:cs="Arial"/>
          <w:sz w:val="24"/>
          <w:szCs w:val="24"/>
        </w:rPr>
        <w:t>II. Program Procedures</w:t>
      </w:r>
      <w:bookmarkEnd w:id="18"/>
    </w:p>
    <w:p w14:paraId="74BBD209" w14:textId="7D3B1820" w:rsidR="004E3890" w:rsidRPr="004E3890" w:rsidRDefault="004E3890" w:rsidP="004E3890">
      <w:pPr>
        <w:spacing w:after="240"/>
        <w:jc w:val="both"/>
        <w:rPr>
          <w:rFonts w:ascii="Arial" w:hAnsi="Arial" w:cs="Arial"/>
          <w:bCs/>
        </w:rPr>
      </w:pPr>
      <w:r w:rsidRPr="004E3890">
        <w:rPr>
          <w:rFonts w:ascii="Arial" w:hAnsi="Arial" w:cs="Arial"/>
          <w:bCs/>
        </w:rPr>
        <w:t>The Substance Abuse and Mental Health Services Administration (SAMHSA), an operating division of the Department of Health and Human Services (HHS), administers the SUPTRS BG program. For purposes of this guidance, the term “state” includes the 50 states, the District of Columbia, American Samoa, Guam, the Marshall Islands, the Federated States of Micronesia, the Commonwealth of the Northern Marianas, Palau, the Commonwealth of Puerto Rico, the US Virgin Islands, and the Red Lake Band of Chippewa Indians. The states generally subaward funds for the provision of services to public and nonprofit organizations. Service providers may include for-profit organizations, but for-profits may not receive financial assistance.</w:t>
      </w:r>
    </w:p>
    <w:p w14:paraId="7A49AC56" w14:textId="3BC0B396" w:rsidR="004E3890" w:rsidRPr="004E3890" w:rsidRDefault="004E3890" w:rsidP="004E3890">
      <w:pPr>
        <w:spacing w:after="240"/>
        <w:jc w:val="both"/>
        <w:rPr>
          <w:rFonts w:ascii="Arial" w:hAnsi="Arial" w:cs="Arial"/>
          <w:bCs/>
        </w:rPr>
      </w:pPr>
      <w:r w:rsidRPr="004E3890">
        <w:rPr>
          <w:rFonts w:ascii="Arial" w:hAnsi="Arial" w:cs="Arial"/>
          <w:bCs/>
        </w:rPr>
        <w:t>Examples of SUPTRS BG activities are:</w:t>
      </w:r>
    </w:p>
    <w:p w14:paraId="0470882B" w14:textId="0739BA57" w:rsidR="004E3890" w:rsidRPr="004E3890" w:rsidRDefault="004E3890" w:rsidP="004E3890">
      <w:pPr>
        <w:spacing w:after="240"/>
        <w:ind w:left="720" w:hanging="720"/>
        <w:jc w:val="both"/>
        <w:rPr>
          <w:rFonts w:ascii="Arial" w:hAnsi="Arial" w:cs="Arial"/>
          <w:bCs/>
        </w:rPr>
      </w:pPr>
      <w:r w:rsidRPr="004E3890">
        <w:rPr>
          <w:rFonts w:ascii="Arial" w:hAnsi="Arial" w:cs="Arial"/>
          <w:bCs/>
        </w:rPr>
        <w:t>1.</w:t>
      </w:r>
      <w:r w:rsidRPr="004E3890">
        <w:rPr>
          <w:rFonts w:ascii="Arial" w:hAnsi="Arial" w:cs="Arial"/>
          <w:bCs/>
        </w:rPr>
        <w:tab/>
      </w:r>
      <w:r w:rsidRPr="004E3890">
        <w:rPr>
          <w:rFonts w:ascii="Arial" w:hAnsi="Arial" w:cs="Arial"/>
          <w:bCs/>
          <w:i/>
          <w:iCs/>
        </w:rPr>
        <w:t>Alcohol Treatment and Rehabilitation</w:t>
      </w:r>
      <w:r w:rsidRPr="004E3890">
        <w:rPr>
          <w:rFonts w:ascii="Arial" w:hAnsi="Arial" w:cs="Arial"/>
          <w:bCs/>
        </w:rPr>
        <w:t xml:space="preserve"> – Direct services to patients experiencing primary problems with alcohol, such as community outreach, detoxification, withdrawal management, outpatient counseling, residential rehabilitation, hospital-based care (not inpatient hospital services), monitoring, vocational counseling, case management, central intake, recovery services, and program administration.</w:t>
      </w:r>
    </w:p>
    <w:p w14:paraId="51CFC38C" w14:textId="3263E2FE" w:rsidR="004E3890" w:rsidRPr="004E3890" w:rsidRDefault="004E3890" w:rsidP="004E3890">
      <w:pPr>
        <w:spacing w:after="240"/>
        <w:ind w:left="720" w:hanging="720"/>
        <w:jc w:val="both"/>
        <w:rPr>
          <w:rFonts w:ascii="Arial" w:hAnsi="Arial" w:cs="Arial"/>
          <w:bCs/>
        </w:rPr>
      </w:pPr>
      <w:r w:rsidRPr="004E3890">
        <w:rPr>
          <w:rFonts w:ascii="Arial" w:hAnsi="Arial" w:cs="Arial"/>
          <w:bCs/>
        </w:rPr>
        <w:t>2.</w:t>
      </w:r>
      <w:r w:rsidRPr="004E3890">
        <w:rPr>
          <w:rFonts w:ascii="Arial" w:hAnsi="Arial" w:cs="Arial"/>
          <w:bCs/>
        </w:rPr>
        <w:tab/>
      </w:r>
      <w:r w:rsidRPr="004E3890">
        <w:rPr>
          <w:rFonts w:ascii="Arial" w:hAnsi="Arial" w:cs="Arial"/>
          <w:bCs/>
          <w:i/>
          <w:iCs/>
        </w:rPr>
        <w:t>Drug Treatment and Rehabilitation</w:t>
      </w:r>
      <w:r w:rsidRPr="004E3890">
        <w:rPr>
          <w:rFonts w:ascii="Arial" w:hAnsi="Arial" w:cs="Arial"/>
          <w:bCs/>
        </w:rPr>
        <w:t xml:space="preserve"> – Direct services to patients experiencing primary problems with illicit drugs and drug use, such as outreach, withdrawal management, opioid use disorder services, outpatient counseling, residential rehabilitation, including therapeutic communities, hospital-based care (not inpatient hospital services), vocational counseling, case management, central intake, recovery services, and program administration.</w:t>
      </w:r>
    </w:p>
    <w:p w14:paraId="170F4E91" w14:textId="6F54B614" w:rsidR="004E3890" w:rsidRPr="004E3890" w:rsidRDefault="004E3890" w:rsidP="004E3890">
      <w:pPr>
        <w:spacing w:after="240"/>
        <w:ind w:left="720" w:hanging="720"/>
        <w:jc w:val="both"/>
        <w:rPr>
          <w:rFonts w:ascii="Arial" w:hAnsi="Arial" w:cs="Arial"/>
          <w:bCs/>
        </w:rPr>
      </w:pPr>
      <w:r w:rsidRPr="004E3890">
        <w:rPr>
          <w:rFonts w:ascii="Arial" w:hAnsi="Arial" w:cs="Arial"/>
          <w:bCs/>
        </w:rPr>
        <w:t>3.</w:t>
      </w:r>
      <w:r w:rsidRPr="004E3890">
        <w:rPr>
          <w:rFonts w:ascii="Arial" w:hAnsi="Arial" w:cs="Arial"/>
          <w:bCs/>
        </w:rPr>
        <w:tab/>
      </w:r>
      <w:r w:rsidRPr="004E3890">
        <w:rPr>
          <w:rFonts w:ascii="Arial" w:hAnsi="Arial" w:cs="Arial"/>
          <w:bCs/>
          <w:i/>
          <w:iCs/>
        </w:rPr>
        <w:t>Primary Prevention Activities</w:t>
      </w:r>
      <w:r w:rsidRPr="004E3890">
        <w:rPr>
          <w:rFonts w:ascii="Arial" w:hAnsi="Arial" w:cs="Arial"/>
          <w:bCs/>
        </w:rPr>
        <w:t xml:space="preserve"> – Education, counseling, and other activities designed to reduce the risk of substance use disorder.</w:t>
      </w:r>
    </w:p>
    <w:p w14:paraId="72E6C28C" w14:textId="0FD21C1F" w:rsidR="004E3890" w:rsidRPr="004E3890" w:rsidRDefault="004E3890" w:rsidP="004E3890">
      <w:pPr>
        <w:spacing w:after="240"/>
        <w:jc w:val="both"/>
        <w:rPr>
          <w:rFonts w:ascii="Arial" w:hAnsi="Arial" w:cs="Arial"/>
          <w:bCs/>
        </w:rPr>
      </w:pPr>
      <w:r w:rsidRPr="004E3890">
        <w:rPr>
          <w:rFonts w:ascii="Arial" w:hAnsi="Arial" w:cs="Arial"/>
          <w:bCs/>
        </w:rPr>
        <w:t>The SUPTRS BG funds are allocated to the states according to a formula legislated by Congress. States may then distribute these funds to cities, counties, or service providers within their</w:t>
      </w:r>
      <w:r>
        <w:rPr>
          <w:rFonts w:ascii="Arial" w:hAnsi="Arial" w:cs="Arial"/>
          <w:bCs/>
        </w:rPr>
        <w:t xml:space="preserve"> </w:t>
      </w:r>
      <w:r w:rsidRPr="004E3890">
        <w:rPr>
          <w:rFonts w:ascii="Arial" w:hAnsi="Arial" w:cs="Arial"/>
          <w:bCs/>
        </w:rPr>
        <w:t>jurisdictions based on need. Of the SUPTRS BG funds dispensed to each state annually, Congress has specified that the state will expend not less than 20 percent for programs for individuals who do not require treatment for substance use disorder. The programs should (1) educate and counsel the individuals on such substance use disorder; and (2) provide for activities to reduce the risk of such substance use disorder by the individuals. SUPTRS BG statutory “set- asides” were established to fund programs targeting special populations, such as services for substance-using pregnant women and women with dependent children, and, in certain “designated states,” for screening for human immunodeficiency virus (HIV).</w:t>
      </w:r>
    </w:p>
    <w:p w14:paraId="510F5B38" w14:textId="5CBA0145" w:rsidR="004E3890" w:rsidRPr="004E3890" w:rsidRDefault="004E3890" w:rsidP="004E3890">
      <w:pPr>
        <w:spacing w:after="240"/>
        <w:jc w:val="both"/>
        <w:rPr>
          <w:rFonts w:ascii="Arial" w:hAnsi="Arial" w:cs="Arial"/>
          <w:bCs/>
        </w:rPr>
      </w:pPr>
      <w:r w:rsidRPr="004E3890">
        <w:rPr>
          <w:rFonts w:ascii="Arial" w:hAnsi="Arial" w:cs="Arial"/>
          <w:bCs/>
        </w:rPr>
        <w:lastRenderedPageBreak/>
        <w:t xml:space="preserve">They submit to SAMHSA for approval, an annual application that includes a state plan for SUD prevention, treatment, and recovery services objectives described above and signed assurances required by the Act and implementing regulations. The entire application, including the plan, must be reviewed by SAMHSA to ensure that </w:t>
      </w:r>
      <w:proofErr w:type="gramStart"/>
      <w:r w:rsidRPr="004E3890">
        <w:rPr>
          <w:rFonts w:ascii="Arial" w:hAnsi="Arial" w:cs="Arial"/>
          <w:bCs/>
        </w:rPr>
        <w:t>all of</w:t>
      </w:r>
      <w:proofErr w:type="gramEnd"/>
      <w:r w:rsidRPr="004E3890">
        <w:rPr>
          <w:rFonts w:ascii="Arial" w:hAnsi="Arial" w:cs="Arial"/>
          <w:bCs/>
        </w:rPr>
        <w:t xml:space="preserve"> the requirements of the law and regulations are met.</w:t>
      </w:r>
    </w:p>
    <w:p w14:paraId="247361EE" w14:textId="20261625" w:rsidR="004E3890" w:rsidRPr="00F00D94" w:rsidRDefault="004E3890" w:rsidP="004E3890">
      <w:pPr>
        <w:spacing w:after="240"/>
        <w:jc w:val="both"/>
        <w:rPr>
          <w:rFonts w:ascii="Arial" w:hAnsi="Arial" w:cs="Arial"/>
          <w:bCs/>
        </w:rPr>
      </w:pPr>
      <w:r w:rsidRPr="004E3890">
        <w:rPr>
          <w:rFonts w:ascii="Arial" w:hAnsi="Arial" w:cs="Arial"/>
          <w:bCs/>
        </w:rPr>
        <w:t>The state plan addresses how the state intends to comply with the various requirements of Title XIX, Part B, subparts II and III of the Public Health Service Act (42 USC 300x-21-66) and its program objectives and specific allocations by (1) conducting state and local demand and need assessments; (2) establishing statewide prevention, treatment, and recovery services improvement plans with specific multi-year goals for narrowing identified service gaps, implementing training efforts, and fostering coordination among SUD treatment, primary health care, and human service agencies; and (3) addressing human resource requirements, clinical standards and identified treatment improvement goals, and ensuring coordination of all health and human services for individuals with substance use disorders.</w:t>
      </w:r>
    </w:p>
    <w:p w14:paraId="3D7F8C06" w14:textId="71375AD8" w:rsidR="009656BB" w:rsidRPr="00F00D94" w:rsidRDefault="004E3890" w:rsidP="00740C6F">
      <w:pPr>
        <w:spacing w:after="240"/>
        <w:jc w:val="both"/>
        <w:rPr>
          <w:rFonts w:ascii="Arial" w:hAnsi="Arial" w:cs="Arial"/>
          <w:bCs/>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19" w:name="_Toc188510274"/>
      <w:r w:rsidRPr="00A0464C">
        <w:rPr>
          <w:rFonts w:cs="Arial"/>
          <w:sz w:val="24"/>
          <w:szCs w:val="24"/>
        </w:rPr>
        <w:t>III. Source of Governing Requirements</w:t>
      </w:r>
      <w:bookmarkEnd w:id="19"/>
    </w:p>
    <w:p w14:paraId="16820FC6" w14:textId="62E259E3" w:rsidR="004F0BF0" w:rsidRPr="004F0BF0" w:rsidRDefault="004F0BF0" w:rsidP="004F0BF0">
      <w:pPr>
        <w:spacing w:after="240"/>
        <w:jc w:val="both"/>
        <w:rPr>
          <w:rFonts w:ascii="Arial" w:hAnsi="Arial" w:cs="Arial"/>
          <w:bCs/>
        </w:rPr>
      </w:pPr>
      <w:r w:rsidRPr="004F0BF0">
        <w:rPr>
          <w:rFonts w:ascii="Arial" w:hAnsi="Arial" w:cs="Arial"/>
          <w:bCs/>
        </w:rPr>
        <w:t>This program is authorized under Title XIX, Part B, subparts II and III of the Public Health Service Act (</w:t>
      </w:r>
      <w:hyperlink r:id="rId30" w:history="1">
        <w:r w:rsidRPr="004F0BF0">
          <w:rPr>
            <w:rStyle w:val="Hyperlink"/>
            <w:rFonts w:cs="Arial"/>
            <w:bCs/>
          </w:rPr>
          <w:t>42 USC 300x-21</w:t>
        </w:r>
      </w:hyperlink>
      <w:r w:rsidRPr="004F0BF0">
        <w:rPr>
          <w:rFonts w:ascii="Arial" w:hAnsi="Arial" w:cs="Arial"/>
          <w:bCs/>
        </w:rPr>
        <w:t>). The implementing regulations are published in 45 CFR Part 96. Those regulations include general administrative requirements for the covered block grant programs in 45 CFR sections 96.46 through 96.120. Specific SUPTRS BG requirements are included in 45 CFR sections 96.121 through 96.137. Section 75.202 and sections 75.351 through</w:t>
      </w:r>
      <w:r>
        <w:rPr>
          <w:rFonts w:ascii="Arial" w:hAnsi="Arial" w:cs="Arial"/>
          <w:bCs/>
        </w:rPr>
        <w:t xml:space="preserve"> </w:t>
      </w:r>
      <w:r w:rsidRPr="004F0BF0">
        <w:rPr>
          <w:rFonts w:ascii="Arial" w:hAnsi="Arial" w:cs="Arial"/>
          <w:bCs/>
        </w:rPr>
        <w:t>75.353 of Subpart D, and Subpart F of 45 CFR 75 apply to the SUPTRS BG. With the exceptions noted, 45 CFR 75.101(d) exempts SUPTRS BG from the general administrative requirements of 45 CFR Part 75.</w:t>
      </w:r>
    </w:p>
    <w:p w14:paraId="5E052068" w14:textId="16A3EF8E" w:rsidR="006F570B" w:rsidRDefault="004F0BF0" w:rsidP="004F0BF0">
      <w:pPr>
        <w:spacing w:after="240"/>
        <w:jc w:val="both"/>
        <w:rPr>
          <w:rFonts w:ascii="Arial" w:hAnsi="Arial" w:cs="Arial"/>
          <w:bCs/>
        </w:rPr>
      </w:pPr>
      <w:r w:rsidRPr="004F0BF0">
        <w:rPr>
          <w:rFonts w:ascii="Arial" w:hAnsi="Arial" w:cs="Arial"/>
          <w:bCs/>
        </w:rPr>
        <w:t>States are to administer their SUPTRS BG programs according to the plan that they submitted to SAMHSA. States are to use the fiscal policies that apply to their funds in administering the SUPTRS BG. Procedures must be adequate to assure the proper disbursal of and accounting for federal funds paid to the grantee, including procedures for monitoring the assistance provided (45 CFR section 96.30).</w:t>
      </w:r>
    </w:p>
    <w:p w14:paraId="05B90F53" w14:textId="42920B8C" w:rsidR="006F570B" w:rsidRPr="00F00D94" w:rsidRDefault="004F0BF0" w:rsidP="006672EA">
      <w:pPr>
        <w:spacing w:after="240"/>
        <w:jc w:val="both"/>
        <w:rPr>
          <w:rFonts w:ascii="Arial" w:hAnsi="Arial" w:cs="Arial"/>
          <w:bCs/>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20" w:name="_Toc188510275"/>
      <w:r w:rsidRPr="00A0464C">
        <w:rPr>
          <w:rFonts w:cs="Arial"/>
          <w:sz w:val="24"/>
          <w:szCs w:val="24"/>
        </w:rPr>
        <w:t xml:space="preserve">IV. </w:t>
      </w:r>
      <w:r w:rsidR="009C1FCD" w:rsidRPr="00A0464C">
        <w:rPr>
          <w:rFonts w:cs="Arial"/>
          <w:sz w:val="24"/>
          <w:szCs w:val="24"/>
        </w:rPr>
        <w:t>Other Information</w:t>
      </w:r>
      <w:bookmarkEnd w:id="20"/>
    </w:p>
    <w:p w14:paraId="1A3DCD71" w14:textId="2AD7932A" w:rsidR="00B32774" w:rsidRPr="00B32774" w:rsidRDefault="00B32774" w:rsidP="00B32774">
      <w:pPr>
        <w:spacing w:after="240"/>
        <w:jc w:val="both"/>
        <w:rPr>
          <w:rFonts w:ascii="Arial" w:hAnsi="Arial" w:cs="Arial"/>
          <w:bCs/>
        </w:rPr>
      </w:pPr>
      <w:r w:rsidRPr="00B32774">
        <w:rPr>
          <w:rFonts w:ascii="Arial" w:hAnsi="Arial" w:cs="Arial"/>
          <w:bCs/>
        </w:rPr>
        <w:t>As described in Part 4, Social Services Block Grant (SSBG) program (Assistance Listing 93.667), III.A, “Activities Allowed or Unallowed,” a state may transfer up to 10 percent of its annual allotment under SSBG to this and other specified block grant programs.</w:t>
      </w:r>
    </w:p>
    <w:p w14:paraId="41708222" w14:textId="4FFF2771" w:rsidR="00B32774" w:rsidRPr="00B32774" w:rsidRDefault="00B32774" w:rsidP="00B32774">
      <w:pPr>
        <w:spacing w:after="240"/>
        <w:jc w:val="both"/>
        <w:rPr>
          <w:rFonts w:ascii="Arial" w:hAnsi="Arial" w:cs="Arial"/>
          <w:bCs/>
        </w:rPr>
      </w:pPr>
      <w:r w:rsidRPr="00B32774">
        <w:rPr>
          <w:rFonts w:ascii="Arial" w:hAnsi="Arial" w:cs="Arial"/>
          <w:bCs/>
        </w:rPr>
        <w:t>Amounts transferred into this program are subject to the requirements of this program when expended and should be included in the audit universe and total expenditures of this program when determining Type A programs. On the Schedule of Expenditures of Federal Awards, the amounts transferred in should be shown as expenditures of this program when such amounts are expended.</w:t>
      </w:r>
    </w:p>
    <w:p w14:paraId="33C8D23D" w14:textId="12BEEC00" w:rsidR="004F0BF0" w:rsidRPr="004F0BF0" w:rsidRDefault="004F0BF0" w:rsidP="004F0BF0">
      <w:pPr>
        <w:spacing w:after="240"/>
        <w:jc w:val="both"/>
        <w:rPr>
          <w:rFonts w:ascii="Arial" w:hAnsi="Arial" w:cs="Arial"/>
          <w:b/>
        </w:rPr>
      </w:pPr>
      <w:r>
        <w:rPr>
          <w:rFonts w:ascii="Arial" w:hAnsi="Arial" w:cs="Arial"/>
          <w:b/>
        </w:rPr>
        <w:t>Availability of Other Program Information</w:t>
      </w:r>
    </w:p>
    <w:p w14:paraId="7E318C26" w14:textId="131550C8" w:rsidR="008148E3" w:rsidRDefault="004F0BF0" w:rsidP="004F0BF0">
      <w:pPr>
        <w:spacing w:after="240"/>
        <w:jc w:val="both"/>
        <w:rPr>
          <w:rFonts w:ascii="Arial" w:hAnsi="Arial" w:cs="Arial"/>
          <w:bCs/>
        </w:rPr>
      </w:pPr>
      <w:r w:rsidRPr="004F0BF0">
        <w:rPr>
          <w:rFonts w:ascii="Arial" w:hAnsi="Arial" w:cs="Arial"/>
          <w:bCs/>
        </w:rPr>
        <w:t>SAMHSA published a notice in the Federal Register on July 6, 2001 (</w:t>
      </w:r>
      <w:hyperlink r:id="rId31" w:history="1">
        <w:r w:rsidRPr="004F0BF0">
          <w:rPr>
            <w:rStyle w:val="Hyperlink"/>
            <w:rFonts w:cs="Arial"/>
            <w:bCs/>
          </w:rPr>
          <w:t>66 FR 35658</w:t>
        </w:r>
      </w:hyperlink>
      <w:r w:rsidRPr="004F0BF0">
        <w:rPr>
          <w:rFonts w:ascii="Arial" w:hAnsi="Arial" w:cs="Arial"/>
          <w:bCs/>
        </w:rPr>
        <w:t>), that details approval requirements for nonrecurring expense exclusions from maintenance-of-effort calculations. A second SAMHSA Federal Register notice, published on November 23, 2001</w:t>
      </w:r>
      <w:r>
        <w:rPr>
          <w:rFonts w:ascii="Arial" w:hAnsi="Arial" w:cs="Arial"/>
          <w:bCs/>
        </w:rPr>
        <w:t xml:space="preserve"> </w:t>
      </w:r>
      <w:r w:rsidRPr="004F0BF0">
        <w:rPr>
          <w:rFonts w:ascii="Arial" w:hAnsi="Arial" w:cs="Arial"/>
          <w:bCs/>
        </w:rPr>
        <w:t>(</w:t>
      </w:r>
      <w:hyperlink r:id="rId32" w:history="1">
        <w:r w:rsidRPr="004F0BF0">
          <w:rPr>
            <w:rStyle w:val="Hyperlink"/>
            <w:rFonts w:cs="Arial"/>
            <w:bCs/>
          </w:rPr>
          <w:t>66 FR 58746-58747</w:t>
        </w:r>
      </w:hyperlink>
      <w:r w:rsidRPr="004F0BF0">
        <w:rPr>
          <w:rFonts w:ascii="Arial" w:hAnsi="Arial" w:cs="Arial"/>
          <w:bCs/>
        </w:rPr>
        <w:t>), addresses the retroactive application of the nonrecurring expense exclusion.</w:t>
      </w:r>
    </w:p>
    <w:p w14:paraId="4DDA80E5" w14:textId="4858D0BA" w:rsidR="00432292" w:rsidRPr="00F00D94" w:rsidRDefault="004F0BF0" w:rsidP="006672EA">
      <w:pPr>
        <w:spacing w:after="240"/>
        <w:jc w:val="both"/>
        <w:rPr>
          <w:rFonts w:ascii="Arial" w:hAnsi="Arial" w:cs="Arial"/>
          <w:b/>
          <w:bCs/>
          <w:szCs w:val="24"/>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8510276"/>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4A657036" w:rsidR="003644ED" w:rsidRPr="00A0464C" w:rsidRDefault="003644ED" w:rsidP="006672EA">
      <w:pPr>
        <w:pStyle w:val="Heading3"/>
        <w:jc w:val="both"/>
        <w:rPr>
          <w:rFonts w:cs="Arial"/>
          <w:sz w:val="24"/>
          <w:szCs w:val="24"/>
        </w:rPr>
      </w:pPr>
      <w:bookmarkStart w:id="23" w:name="_Toc188510277"/>
      <w:r w:rsidRPr="00A0464C">
        <w:rPr>
          <w:rFonts w:cs="Arial"/>
          <w:sz w:val="24"/>
          <w:szCs w:val="24"/>
        </w:rPr>
        <w:t>Program Overview</w:t>
      </w:r>
      <w:r w:rsidR="00B32774">
        <w:rPr>
          <w:rFonts w:cs="Arial"/>
          <w:sz w:val="24"/>
          <w:szCs w:val="24"/>
        </w:rPr>
        <w:t xml:space="preserve"> and Testing Considerations</w:t>
      </w:r>
      <w:bookmarkEnd w:id="23"/>
    </w:p>
    <w:p w14:paraId="1D51A241" w14:textId="77777777" w:rsidR="00B32774" w:rsidRPr="004849DB" w:rsidRDefault="00B32774" w:rsidP="00B32774">
      <w:pPr>
        <w:spacing w:after="240"/>
        <w:jc w:val="both"/>
        <w:rPr>
          <w:rFonts w:ascii="Arial" w:hAnsi="Arial" w:cs="Arial"/>
        </w:rPr>
      </w:pPr>
      <w:r w:rsidRPr="004849DB">
        <w:rPr>
          <w:rFonts w:ascii="Arial" w:hAnsi="Arial" w:cs="Arial"/>
        </w:rPr>
        <w:t xml:space="preserve">The Ohio Department of Mental Health and Addiction Services (OhioMHAS) is the state agency responsible for administration of the </w:t>
      </w:r>
      <w:r>
        <w:rPr>
          <w:rFonts w:ascii="Arial" w:hAnsi="Arial" w:cs="Arial"/>
        </w:rPr>
        <w:t>SUPTRS</w:t>
      </w:r>
      <w:r w:rsidRPr="004849DB">
        <w:rPr>
          <w:rFonts w:ascii="Arial" w:hAnsi="Arial" w:cs="Arial"/>
        </w:rPr>
        <w:t xml:space="preserve"> program in Ohio. OhioMHAS makes subawards to not-for-profit organizations and local governments.  Local government recipients are typically alcohol, drug addiction, and mental health services boards (hereafter referred to as BOARDS).  </w:t>
      </w:r>
      <w:r>
        <w:rPr>
          <w:rFonts w:ascii="Arial" w:hAnsi="Arial" w:cs="Arial"/>
        </w:rPr>
        <w:t>SUPTRS</w:t>
      </w:r>
      <w:r w:rsidRPr="004849DB">
        <w:rPr>
          <w:rFonts w:ascii="Arial" w:hAnsi="Arial" w:cs="Arial"/>
        </w:rPr>
        <w:t xml:space="preserve"> services may be provided directly by the Board or the Board may enter into an agreement with a service provider.  In either case, the service provider will be referred to as “Provider” throughout this document.</w:t>
      </w:r>
    </w:p>
    <w:p w14:paraId="5FCA48D7" w14:textId="77777777" w:rsidR="00B32774" w:rsidRPr="004849DB" w:rsidRDefault="00B32774" w:rsidP="00B32774">
      <w:pPr>
        <w:spacing w:after="240"/>
        <w:jc w:val="both"/>
        <w:rPr>
          <w:rFonts w:ascii="Arial" w:hAnsi="Arial" w:cs="Arial"/>
        </w:rPr>
      </w:pPr>
      <w:r w:rsidRPr="00B12A2D">
        <w:rPr>
          <w:rFonts w:ascii="Arial" w:hAnsi="Arial" w:cs="Arial"/>
        </w:rPr>
        <w:t>OhioMHAS requires Boards to evaluate each Provider receiving pass-through funds from OhioMHAS</w:t>
      </w:r>
      <w:r w:rsidRPr="004849DB">
        <w:rPr>
          <w:rFonts w:ascii="Arial" w:hAnsi="Arial" w:cs="Arial"/>
        </w:rPr>
        <w:t xml:space="preserve"> to determine if they </w:t>
      </w:r>
      <w:proofErr w:type="gramStart"/>
      <w:r w:rsidRPr="004849DB">
        <w:rPr>
          <w:rFonts w:ascii="Arial" w:hAnsi="Arial" w:cs="Arial"/>
        </w:rPr>
        <w:t>entered into</w:t>
      </w:r>
      <w:proofErr w:type="gramEnd"/>
      <w:r w:rsidRPr="004849DB">
        <w:rPr>
          <w:rFonts w:ascii="Arial" w:hAnsi="Arial" w:cs="Arial"/>
        </w:rPr>
        <w:t xml:space="preserve"> a Subrecipient or Contractor relationship as required per Uniform Guidance. (Refer to the Ohio Department of Mental Health (</w:t>
      </w:r>
      <w:r>
        <w:rPr>
          <w:rFonts w:ascii="Arial" w:hAnsi="Arial" w:cs="Arial"/>
        </w:rPr>
        <w:t>OhioMHAS)</w:t>
      </w:r>
      <w:r w:rsidRPr="004849DB">
        <w:rPr>
          <w:rFonts w:ascii="Arial" w:hAnsi="Arial" w:cs="Arial"/>
        </w:rPr>
        <w:t xml:space="preserve"> Financial and Compliance Audit Guidelines, Appendix A).</w:t>
      </w:r>
    </w:p>
    <w:p w14:paraId="6E5946E8" w14:textId="77777777" w:rsidR="00B32774" w:rsidRPr="004849DB" w:rsidRDefault="00B32774" w:rsidP="00B32774">
      <w:pPr>
        <w:spacing w:after="240"/>
        <w:jc w:val="both"/>
        <w:rPr>
          <w:rFonts w:ascii="Arial" w:hAnsi="Arial" w:cs="Arial"/>
        </w:rPr>
      </w:pPr>
      <w:r w:rsidRPr="004849DB">
        <w:rPr>
          <w:rFonts w:ascii="Arial" w:hAnsi="Arial" w:cs="Arial"/>
        </w:rPr>
        <w:t xml:space="preserve">BOARDS receive </w:t>
      </w:r>
      <w:r>
        <w:rPr>
          <w:rFonts w:ascii="Arial" w:hAnsi="Arial" w:cs="Arial"/>
        </w:rPr>
        <w:t>SUPTRS</w:t>
      </w:r>
      <w:r w:rsidRPr="004849DB">
        <w:rPr>
          <w:rFonts w:ascii="Arial" w:hAnsi="Arial" w:cs="Arial"/>
        </w:rPr>
        <w:t xml:space="preserve"> under two funding methods.  Board Allocations are received by all BOARDS based on a formula.  Allocations must be used in accordance with the Board’s “Community </w:t>
      </w:r>
      <w:r>
        <w:rPr>
          <w:rFonts w:ascii="Arial" w:hAnsi="Arial" w:cs="Arial"/>
        </w:rPr>
        <w:t xml:space="preserve">Assessment </w:t>
      </w:r>
      <w:r w:rsidRPr="004849DB">
        <w:rPr>
          <w:rFonts w:ascii="Arial" w:hAnsi="Arial" w:cs="Arial"/>
        </w:rPr>
        <w:t>Plan</w:t>
      </w:r>
      <w:r>
        <w:rPr>
          <w:rFonts w:ascii="Arial" w:hAnsi="Arial" w:cs="Arial"/>
        </w:rPr>
        <w:t xml:space="preserve"> (CAP)</w:t>
      </w:r>
      <w:r w:rsidRPr="004849DB">
        <w:rPr>
          <w:rFonts w:ascii="Arial" w:hAnsi="Arial" w:cs="Arial"/>
        </w:rPr>
        <w:t xml:space="preserve">” as approved by OhioMHAS.   The Community </w:t>
      </w:r>
      <w:r>
        <w:rPr>
          <w:rFonts w:ascii="Arial" w:hAnsi="Arial" w:cs="Arial"/>
        </w:rPr>
        <w:t xml:space="preserve">Assessment </w:t>
      </w:r>
      <w:r w:rsidRPr="004849DB">
        <w:rPr>
          <w:rFonts w:ascii="Arial" w:hAnsi="Arial" w:cs="Arial"/>
        </w:rPr>
        <w:t>Plan</w:t>
      </w:r>
      <w:r>
        <w:rPr>
          <w:rFonts w:ascii="Arial" w:hAnsi="Arial" w:cs="Arial"/>
        </w:rPr>
        <w:t xml:space="preserve"> (CAP)</w:t>
      </w:r>
      <w:r w:rsidRPr="004849DB">
        <w:rPr>
          <w:rFonts w:ascii="Arial" w:hAnsi="Arial" w:cs="Arial"/>
        </w:rPr>
        <w:t xml:space="preserve"> is a narrative depiction of how the funding will be expended, as well as a financial budget. Once the </w:t>
      </w:r>
      <w:r>
        <w:rPr>
          <w:rFonts w:ascii="Arial" w:hAnsi="Arial" w:cs="Arial"/>
        </w:rPr>
        <w:t xml:space="preserve">CAP </w:t>
      </w:r>
      <w:r w:rsidRPr="004849DB">
        <w:rPr>
          <w:rFonts w:ascii="Arial" w:hAnsi="Arial" w:cs="Arial"/>
        </w:rPr>
        <w:t>has been approved by OhioMHAS, the BOARD must sign a written statement of BOARD assurances (i.e., the “Ohio Department of Mental Health and Addiction Services Board Assurances”).  These assurances cover several of the applicable federal requirements in the FACCR.</w:t>
      </w:r>
    </w:p>
    <w:p w14:paraId="72021436" w14:textId="77777777" w:rsidR="00B32774" w:rsidRPr="004849DB" w:rsidRDefault="00B32774" w:rsidP="00B32774">
      <w:pPr>
        <w:spacing w:after="240"/>
        <w:jc w:val="both"/>
        <w:rPr>
          <w:rFonts w:ascii="Arial" w:hAnsi="Arial" w:cs="Arial"/>
        </w:rPr>
      </w:pPr>
      <w:r w:rsidRPr="004849DB">
        <w:rPr>
          <w:rFonts w:ascii="Arial" w:hAnsi="Arial" w:cs="Arial"/>
        </w:rPr>
        <w:t xml:space="preserve">BOARDS also receive </w:t>
      </w:r>
      <w:r>
        <w:rPr>
          <w:rFonts w:ascii="Arial" w:hAnsi="Arial" w:cs="Arial"/>
        </w:rPr>
        <w:t>SUPTRS</w:t>
      </w:r>
      <w:r w:rsidRPr="004849DB">
        <w:rPr>
          <w:rFonts w:ascii="Arial" w:hAnsi="Arial" w:cs="Arial"/>
        </w:rPr>
        <w:t xml:space="preserve"> funds via Grant Awards.  For grants, the Board submits an application/proposal via the Grants Funding Management System (GFMS) in response to an OhioMHAS purpose and must be administered in accordance with the RFP, approved proposal, and assurances. </w:t>
      </w:r>
    </w:p>
    <w:p w14:paraId="54CE450A" w14:textId="77777777" w:rsidR="00B32774" w:rsidRPr="004849DB" w:rsidRDefault="00B32774" w:rsidP="00B32774">
      <w:pPr>
        <w:spacing w:after="240"/>
        <w:jc w:val="both"/>
        <w:rPr>
          <w:rFonts w:ascii="Arial" w:hAnsi="Arial" w:cs="Arial"/>
        </w:rPr>
      </w:pPr>
      <w:r w:rsidRPr="004849DB">
        <w:rPr>
          <w:rFonts w:ascii="Arial" w:hAnsi="Arial" w:cs="Arial"/>
        </w:rPr>
        <w:t>Throughout this document “allocation” and “grant” are used to differentiate among these two funding methods. This document uses “awards” and “</w:t>
      </w:r>
      <w:r>
        <w:rPr>
          <w:rFonts w:ascii="Arial" w:hAnsi="Arial" w:cs="Arial"/>
        </w:rPr>
        <w:t>SUPTRS</w:t>
      </w:r>
      <w:r w:rsidRPr="004849DB">
        <w:rPr>
          <w:rFonts w:ascii="Arial" w:hAnsi="Arial" w:cs="Arial"/>
        </w:rPr>
        <w:t xml:space="preserve">” to refer to the </w:t>
      </w:r>
      <w:r>
        <w:rPr>
          <w:rFonts w:ascii="Arial" w:hAnsi="Arial" w:cs="Arial"/>
        </w:rPr>
        <w:t>SUPTRS</w:t>
      </w:r>
      <w:r w:rsidRPr="004849DB">
        <w:rPr>
          <w:rFonts w:ascii="Arial" w:hAnsi="Arial" w:cs="Arial"/>
        </w:rPr>
        <w:t xml:space="preserve"> program in general.</w:t>
      </w:r>
    </w:p>
    <w:p w14:paraId="083B805B" w14:textId="77777777" w:rsidR="00B32774" w:rsidRPr="00D94F69" w:rsidRDefault="00B32774" w:rsidP="00B32774">
      <w:pPr>
        <w:spacing w:after="240"/>
        <w:jc w:val="both"/>
        <w:rPr>
          <w:rFonts w:ascii="Arial" w:hAnsi="Arial" w:cs="Arial"/>
        </w:rPr>
      </w:pPr>
      <w:r w:rsidRPr="004849DB">
        <w:rPr>
          <w:rFonts w:ascii="Arial" w:hAnsi="Arial" w:cs="Arial"/>
        </w:rPr>
        <w:t xml:space="preserve">As with most block grants, </w:t>
      </w:r>
      <w:r>
        <w:rPr>
          <w:rFonts w:ascii="Arial" w:hAnsi="Arial" w:cs="Arial"/>
        </w:rPr>
        <w:t>SUPTRS</w:t>
      </w:r>
      <w:r w:rsidRPr="004849DB">
        <w:rPr>
          <w:rFonts w:ascii="Arial" w:hAnsi="Arial" w:cs="Arial"/>
        </w:rPr>
        <w:t xml:space="preserve"> awards are made for various purposes.  This document will identify the general requirements applicable to </w:t>
      </w:r>
      <w:r>
        <w:rPr>
          <w:rFonts w:ascii="Arial" w:hAnsi="Arial" w:cs="Arial"/>
        </w:rPr>
        <w:t>SUPTRS</w:t>
      </w:r>
      <w:r w:rsidRPr="004849DB">
        <w:rPr>
          <w:rFonts w:ascii="Arial" w:hAnsi="Arial" w:cs="Arial"/>
        </w:rPr>
        <w:t xml:space="preserve"> awards made by OhioMHAS, however, auditors will need to carefully review the terms of the specific award, retain a copy of relevant award documents (e.g., approved application/proposal, assurances, RFP/application instructions) in the work papers, and audit compliance with the specific requirements of the award.</w:t>
      </w:r>
    </w:p>
    <w:p w14:paraId="6DB7CFDD" w14:textId="3808F41C" w:rsidR="00B32774" w:rsidRPr="00D94F69" w:rsidRDefault="00B32774" w:rsidP="00B32774">
      <w:pPr>
        <w:spacing w:after="240"/>
        <w:jc w:val="both"/>
        <w:rPr>
          <w:rFonts w:ascii="Arial" w:hAnsi="Arial" w:cs="Arial"/>
        </w:rPr>
      </w:pPr>
      <w:r w:rsidRPr="006B4A4A">
        <w:rPr>
          <w:rFonts w:ascii="Arial" w:hAnsi="Arial" w:cs="Arial"/>
          <w:i/>
        </w:rPr>
        <w:t>(Source</w:t>
      </w:r>
      <w:r>
        <w:rPr>
          <w:rFonts w:ascii="Arial" w:hAnsi="Arial" w:cs="Arial"/>
          <w:i/>
        </w:rPr>
        <w:t>:</w:t>
      </w:r>
      <w:r w:rsidRPr="006B4A4A">
        <w:rPr>
          <w:rFonts w:ascii="Arial" w:hAnsi="Arial" w:cs="Arial"/>
          <w:i/>
        </w:rPr>
        <w:t xml:space="preserve"> Scott Wingenfeld</w:t>
      </w:r>
      <w:r w:rsidR="002A6277">
        <w:rPr>
          <w:rFonts w:ascii="Arial" w:hAnsi="Arial" w:cs="Arial"/>
          <w:i/>
        </w:rPr>
        <w:t xml:space="preserve">, OhioMHAS </w:t>
      </w:r>
      <w:r w:rsidR="00184C37">
        <w:rPr>
          <w:rFonts w:ascii="Arial" w:hAnsi="Arial" w:cs="Arial"/>
          <w:i/>
        </w:rPr>
        <w:t>Bureau of Grants Administration</w:t>
      </w:r>
      <w:r w:rsidR="002A6277">
        <w:rPr>
          <w:rFonts w:ascii="Arial" w:hAnsi="Arial" w:cs="Arial"/>
          <w:i/>
        </w:rPr>
        <w:t>, January 20, 2025</w:t>
      </w:r>
      <w:r w:rsidRPr="006B4A4A">
        <w:rPr>
          <w:rFonts w:ascii="Arial" w:hAnsi="Arial" w:cs="Arial"/>
          <w:i/>
        </w:rPr>
        <w:t>)</w:t>
      </w:r>
    </w:p>
    <w:p w14:paraId="3FAE42F4" w14:textId="77777777" w:rsidR="00B32774" w:rsidRPr="0057383E" w:rsidRDefault="00B32774" w:rsidP="00B32774">
      <w:pPr>
        <w:spacing w:after="240"/>
        <w:jc w:val="both"/>
        <w:rPr>
          <w:rFonts w:ascii="Arial" w:hAnsi="Arial" w:cs="Arial"/>
          <w:b/>
        </w:rPr>
      </w:pPr>
      <w:r w:rsidRPr="0057383E">
        <w:rPr>
          <w:rFonts w:ascii="Arial" w:hAnsi="Arial" w:cs="Arial"/>
          <w:b/>
        </w:rPr>
        <w:t>Ohio Specific:</w:t>
      </w:r>
    </w:p>
    <w:p w14:paraId="1B4B5340" w14:textId="77777777" w:rsidR="00B32774" w:rsidRPr="00064B66" w:rsidRDefault="00B32774" w:rsidP="00B32774">
      <w:pPr>
        <w:spacing w:after="240"/>
        <w:jc w:val="both"/>
        <w:rPr>
          <w:rFonts w:ascii="Arial" w:hAnsi="Arial" w:cs="Arial"/>
        </w:rPr>
      </w:pPr>
      <w:r>
        <w:rPr>
          <w:rFonts w:ascii="Arial" w:hAnsi="Arial" w:cs="Arial"/>
        </w:rPr>
        <w:t>Auditors should refer to</w:t>
      </w:r>
      <w:r w:rsidRPr="0057383E">
        <w:rPr>
          <w:rFonts w:ascii="Arial" w:hAnsi="Arial" w:cs="Arial"/>
        </w:rPr>
        <w:t xml:space="preserve"> </w:t>
      </w:r>
      <w:r w:rsidRPr="00885300">
        <w:rPr>
          <w:rFonts w:ascii="Arial" w:hAnsi="Arial" w:cs="Arial"/>
        </w:rPr>
        <w:t>2 CFR 200.332</w:t>
      </w:r>
      <w:r>
        <w:rPr>
          <w:rFonts w:ascii="Arial" w:hAnsi="Arial" w:cs="Arial"/>
        </w:rPr>
        <w:t xml:space="preserve"> and</w:t>
      </w:r>
      <w:r w:rsidRPr="00885300">
        <w:rPr>
          <w:rFonts w:ascii="Arial" w:hAnsi="Arial" w:cs="Arial"/>
        </w:rPr>
        <w:t xml:space="preserve"> 45 CFR 75.352</w:t>
      </w:r>
      <w:r>
        <w:rPr>
          <w:rFonts w:ascii="Arial" w:hAnsi="Arial" w:cs="Arial"/>
        </w:rPr>
        <w:t>,</w:t>
      </w:r>
      <w:r w:rsidRPr="00885300">
        <w:rPr>
          <w:rFonts w:ascii="Arial" w:hAnsi="Arial" w:cs="Arial"/>
        </w:rPr>
        <w:t xml:space="preserve"> along with </w:t>
      </w:r>
      <w:r w:rsidRPr="0057383E">
        <w:rPr>
          <w:rFonts w:ascii="Arial" w:hAnsi="Arial" w:cs="Arial"/>
        </w:rPr>
        <w:t>the OhioMHAS Financial and Compliance Audit Guideline</w:t>
      </w:r>
      <w:r>
        <w:rPr>
          <w:rFonts w:ascii="Arial" w:hAnsi="Arial" w:cs="Arial"/>
        </w:rPr>
        <w:t xml:space="preserve">s, which are applicable </w:t>
      </w:r>
      <w:r w:rsidRPr="0057383E">
        <w:rPr>
          <w:rFonts w:ascii="Arial" w:hAnsi="Arial" w:cs="Arial"/>
        </w:rPr>
        <w:t>to Alcohol and Drug Addiction Programs</w:t>
      </w:r>
      <w:r>
        <w:rPr>
          <w:rFonts w:ascii="Arial" w:hAnsi="Arial" w:cs="Arial"/>
        </w:rPr>
        <w:t>,</w:t>
      </w:r>
      <w:r w:rsidRPr="0057383E">
        <w:rPr>
          <w:rFonts w:ascii="Arial" w:hAnsi="Arial" w:cs="Arial"/>
        </w:rPr>
        <w:t xml:space="preserve"> </w:t>
      </w:r>
      <w:r>
        <w:rPr>
          <w:rFonts w:ascii="Arial" w:hAnsi="Arial" w:cs="Arial"/>
        </w:rPr>
        <w:t>a</w:t>
      </w:r>
      <w:r w:rsidRPr="0057383E">
        <w:rPr>
          <w:rFonts w:ascii="Arial" w:hAnsi="Arial" w:cs="Arial"/>
        </w:rPr>
        <w:t>gencies</w:t>
      </w:r>
      <w:r>
        <w:rPr>
          <w:rFonts w:ascii="Arial" w:hAnsi="Arial" w:cs="Arial"/>
        </w:rPr>
        <w:t>,</w:t>
      </w:r>
      <w:r w:rsidRPr="0057383E">
        <w:rPr>
          <w:rFonts w:ascii="Arial" w:hAnsi="Arial" w:cs="Arial"/>
        </w:rPr>
        <w:t xml:space="preserve"> and Community Mental Health Agencies </w:t>
      </w:r>
      <w:r>
        <w:rPr>
          <w:rFonts w:ascii="Arial" w:hAnsi="Arial" w:cs="Arial"/>
        </w:rPr>
        <w:t>r</w:t>
      </w:r>
      <w:r w:rsidRPr="0057383E">
        <w:rPr>
          <w:rFonts w:ascii="Arial" w:hAnsi="Arial" w:cs="Arial"/>
        </w:rPr>
        <w:t>eceiving Federal, State, and other funding that originate</w:t>
      </w:r>
      <w:r>
        <w:rPr>
          <w:rFonts w:ascii="Arial" w:hAnsi="Arial" w:cs="Arial"/>
        </w:rPr>
        <w:t>s</w:t>
      </w:r>
      <w:r w:rsidRPr="0057383E">
        <w:rPr>
          <w:rFonts w:ascii="Arial" w:hAnsi="Arial" w:cs="Arial"/>
        </w:rPr>
        <w:t xml:space="preserve"> from and/or pas</w:t>
      </w:r>
      <w:r>
        <w:rPr>
          <w:rFonts w:ascii="Arial" w:hAnsi="Arial" w:cs="Arial"/>
        </w:rPr>
        <w:t xml:space="preserve">ses </w:t>
      </w:r>
      <w:r w:rsidRPr="0057383E">
        <w:rPr>
          <w:rFonts w:ascii="Arial" w:hAnsi="Arial" w:cs="Arial"/>
        </w:rPr>
        <w:t>through OhioMHAS or ADAMHS/CMHS Boards (Audit Guidelines).  The latest version</w:t>
      </w:r>
      <w:r>
        <w:rPr>
          <w:rFonts w:ascii="Arial" w:hAnsi="Arial" w:cs="Arial"/>
        </w:rPr>
        <w:t>, issued on August 2, 2019,</w:t>
      </w:r>
      <w:r w:rsidRPr="0057383E">
        <w:rPr>
          <w:rFonts w:ascii="Arial" w:hAnsi="Arial" w:cs="Arial"/>
        </w:rPr>
        <w:t xml:space="preserve"> is effective for audits ending on or after June 30, 2019.</w:t>
      </w:r>
      <w:r w:rsidRPr="00064B66">
        <w:rPr>
          <w:rFonts w:ascii="Arial" w:hAnsi="Arial" w:cs="Arial"/>
        </w:rPr>
        <w:t xml:space="preserve"> </w:t>
      </w:r>
    </w:p>
    <w:p w14:paraId="33C5721A" w14:textId="1F0436D5" w:rsidR="00B32774" w:rsidRPr="00D94F69" w:rsidRDefault="00B32774" w:rsidP="00B32774">
      <w:pPr>
        <w:spacing w:after="240"/>
        <w:jc w:val="both"/>
        <w:rPr>
          <w:rFonts w:ascii="Arial" w:hAnsi="Arial" w:cs="Arial"/>
        </w:rPr>
      </w:pPr>
      <w:r w:rsidRPr="006B4A4A">
        <w:rPr>
          <w:rFonts w:ascii="Arial" w:hAnsi="Arial" w:cs="Arial"/>
          <w:i/>
        </w:rPr>
        <w:t>(Source:  Mei King, OhioMHAS</w:t>
      </w:r>
      <w:r w:rsidR="002A6277">
        <w:rPr>
          <w:rFonts w:ascii="Arial" w:hAnsi="Arial" w:cs="Arial"/>
          <w:i/>
        </w:rPr>
        <w:t>, January 20, 2025</w:t>
      </w:r>
      <w:r w:rsidRPr="006B4A4A">
        <w:rPr>
          <w:rFonts w:ascii="Arial" w:hAnsi="Arial" w:cs="Arial"/>
          <w:i/>
        </w:rPr>
        <w:t>)</w:t>
      </w:r>
    </w:p>
    <w:p w14:paraId="38B71D99" w14:textId="77777777" w:rsidR="00B32774" w:rsidRPr="006B4A4A" w:rsidRDefault="00B32774" w:rsidP="00B32774">
      <w:pPr>
        <w:spacing w:after="240"/>
        <w:jc w:val="both"/>
        <w:rPr>
          <w:rFonts w:ascii="Arial" w:hAnsi="Arial" w:cs="Arial"/>
        </w:rPr>
      </w:pPr>
      <w:r w:rsidRPr="00064B66">
        <w:rPr>
          <w:rFonts w:ascii="Arial" w:hAnsi="Arial" w:cs="Arial"/>
        </w:rPr>
        <w:t xml:space="preserve">While certain sections of 2 CFR 200 (as noted above) do not apply, subawards through Ohio MHAS must </w:t>
      </w:r>
      <w:r w:rsidRPr="006B4A4A">
        <w:rPr>
          <w:rFonts w:ascii="Arial" w:hAnsi="Arial" w:cs="Arial"/>
        </w:rPr>
        <w:t xml:space="preserve">comply with the provision of 45 CFR Part 75 and 45 CFR Part 96. </w:t>
      </w:r>
    </w:p>
    <w:p w14:paraId="4F832EBB" w14:textId="768AA610" w:rsidR="003644ED" w:rsidRPr="00F00D94" w:rsidRDefault="00B32774" w:rsidP="006672EA">
      <w:pPr>
        <w:spacing w:after="240"/>
        <w:jc w:val="both"/>
        <w:rPr>
          <w:rFonts w:ascii="Arial" w:hAnsi="Arial" w:cs="Arial"/>
        </w:rPr>
      </w:pPr>
      <w:r w:rsidRPr="006B4A4A">
        <w:rPr>
          <w:rFonts w:ascii="Arial" w:hAnsi="Arial" w:cs="Arial"/>
          <w:i/>
        </w:rPr>
        <w:t xml:space="preserve">(Source: </w:t>
      </w:r>
      <w:hyperlink r:id="rId34" w:history="1">
        <w:r w:rsidRPr="00E6054C">
          <w:rPr>
            <w:rStyle w:val="Hyperlink"/>
            <w:rFonts w:cs="Arial"/>
            <w:i/>
          </w:rPr>
          <w:t>2024 OhioMHAS Agreement and Assurances</w:t>
        </w:r>
      </w:hyperlink>
      <w:r w:rsidRPr="006B4A4A">
        <w:rPr>
          <w:rStyle w:val="Hyperlink"/>
          <w:rFonts w:cs="Arial"/>
          <w:i/>
          <w:color w:val="auto"/>
          <w:u w:val="none"/>
        </w:rPr>
        <w:t>)</w:t>
      </w:r>
    </w:p>
    <w:p w14:paraId="76A49AA4" w14:textId="77777777" w:rsidR="003644ED" w:rsidRPr="00A0464C" w:rsidRDefault="003644ED" w:rsidP="006672EA">
      <w:pPr>
        <w:pStyle w:val="Heading3"/>
        <w:jc w:val="both"/>
        <w:rPr>
          <w:rFonts w:cs="Arial"/>
          <w:sz w:val="24"/>
          <w:szCs w:val="24"/>
        </w:rPr>
      </w:pPr>
      <w:bookmarkStart w:id="24" w:name="_Toc188510278"/>
      <w:r w:rsidRPr="00A0464C">
        <w:rPr>
          <w:rFonts w:cs="Arial"/>
          <w:sz w:val="24"/>
          <w:szCs w:val="24"/>
        </w:rPr>
        <w:lastRenderedPageBreak/>
        <w:t>Reporting</w:t>
      </w:r>
      <w:bookmarkEnd w:id="24"/>
    </w:p>
    <w:p w14:paraId="098F526F" w14:textId="3F302B36" w:rsidR="002A4184" w:rsidRPr="0019565C" w:rsidRDefault="0047409E" w:rsidP="006672EA">
      <w:pPr>
        <w:spacing w:after="240"/>
        <w:jc w:val="both"/>
        <w:rPr>
          <w:rFonts w:ascii="Arial" w:hAnsi="Arial" w:cs="Arial"/>
          <w:b/>
        </w:rPr>
        <w:sectPr w:rsidR="002A4184" w:rsidRPr="0019565C" w:rsidSect="00FE4777">
          <w:headerReference w:type="default" r:id="rId3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8851027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88510280"/>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88510281"/>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E37637A" w14:textId="45EE934E" w:rsidR="007F5E4F" w:rsidRPr="007F5E4F" w:rsidRDefault="007F5E4F" w:rsidP="007F5E4F">
      <w:pPr>
        <w:spacing w:after="240"/>
        <w:jc w:val="both"/>
        <w:rPr>
          <w:rFonts w:ascii="Arial" w:hAnsi="Arial" w:cs="Arial"/>
          <w:bCs/>
          <w:i/>
          <w:iCs/>
        </w:rPr>
      </w:pPr>
      <w:r w:rsidRPr="007F5E4F">
        <w:rPr>
          <w:rFonts w:ascii="Arial" w:hAnsi="Arial" w:cs="Arial"/>
          <w:bCs/>
          <w:i/>
          <w:iCs/>
        </w:rPr>
        <w:t>1.</w:t>
      </w:r>
      <w:r w:rsidRPr="007F5E4F">
        <w:rPr>
          <w:rFonts w:ascii="Arial" w:hAnsi="Arial" w:cs="Arial"/>
          <w:bCs/>
          <w:i/>
          <w:iCs/>
        </w:rPr>
        <w:tab/>
        <w:t>Activities Allowed</w:t>
      </w:r>
    </w:p>
    <w:p w14:paraId="09424DC9" w14:textId="2CC37782" w:rsidR="007F5E4F" w:rsidRPr="007F5E4F" w:rsidRDefault="007F5E4F" w:rsidP="007F5E4F">
      <w:pPr>
        <w:spacing w:after="240"/>
        <w:ind w:left="1440" w:hanging="720"/>
        <w:jc w:val="both"/>
        <w:rPr>
          <w:rFonts w:ascii="Arial" w:hAnsi="Arial" w:cs="Arial"/>
          <w:bCs/>
        </w:rPr>
      </w:pPr>
      <w:r w:rsidRPr="007F5E4F">
        <w:rPr>
          <w:rFonts w:ascii="Arial" w:hAnsi="Arial" w:cs="Arial"/>
          <w:bCs/>
        </w:rPr>
        <w:t>a.</w:t>
      </w:r>
      <w:r w:rsidRPr="007F5E4F">
        <w:rPr>
          <w:rFonts w:ascii="Arial" w:hAnsi="Arial" w:cs="Arial"/>
          <w:bCs/>
        </w:rPr>
        <w:tab/>
        <w:t>SUPTRS BG funds may be expended to provide for a wide range of activities to prevent, treat, and provide recovery services for substance use disorders and may be expended to deal with the use of alcohol, the use of illicit drugs, the misuse of licit drugs, and the use of tobacco products as identified in the Overview section above (sections 1921 to 1954 of the PHS Act, 42 USC 300x-21–300x-35; 58 FR 17062 No. 60, March 1993).</w:t>
      </w:r>
    </w:p>
    <w:p w14:paraId="71865E09" w14:textId="4213C601" w:rsidR="007F5E4F" w:rsidRPr="007F5E4F" w:rsidRDefault="007F5E4F" w:rsidP="007F5E4F">
      <w:pPr>
        <w:spacing w:after="240"/>
        <w:ind w:left="1440" w:hanging="720"/>
        <w:jc w:val="both"/>
        <w:rPr>
          <w:rFonts w:ascii="Arial" w:hAnsi="Arial" w:cs="Arial"/>
          <w:bCs/>
        </w:rPr>
      </w:pPr>
      <w:r w:rsidRPr="007F5E4F">
        <w:rPr>
          <w:rFonts w:ascii="Arial" w:hAnsi="Arial" w:cs="Arial"/>
          <w:bCs/>
        </w:rPr>
        <w:t>b.</w:t>
      </w:r>
      <w:r w:rsidRPr="007F5E4F">
        <w:rPr>
          <w:rFonts w:ascii="Arial" w:hAnsi="Arial" w:cs="Arial"/>
          <w:bCs/>
        </w:rPr>
        <w:tab/>
        <w:t>The state may use grant funds for loans from a revolving loan fund for the provision of housing in which individuals recovering from alcohol and drug use disorders may reside in groups. Individual loans may not exceed $4,000 (45 CFR section 96.129).</w:t>
      </w:r>
    </w:p>
    <w:p w14:paraId="0706E701" w14:textId="0E2337CA" w:rsidR="007F5E4F" w:rsidRPr="007F5E4F" w:rsidRDefault="007F5E4F" w:rsidP="007F5E4F">
      <w:pPr>
        <w:spacing w:after="240"/>
        <w:ind w:left="1440" w:hanging="720"/>
        <w:jc w:val="both"/>
        <w:rPr>
          <w:rFonts w:ascii="Arial" w:hAnsi="Arial" w:cs="Arial"/>
          <w:bCs/>
        </w:rPr>
      </w:pPr>
      <w:r w:rsidRPr="007F5E4F">
        <w:rPr>
          <w:rFonts w:ascii="Arial" w:hAnsi="Arial" w:cs="Arial"/>
          <w:bCs/>
        </w:rPr>
        <w:t>c.</w:t>
      </w:r>
      <w:r w:rsidRPr="007F5E4F">
        <w:rPr>
          <w:rFonts w:ascii="Arial" w:hAnsi="Arial" w:cs="Arial"/>
          <w:bCs/>
        </w:rPr>
        <w:tab/>
        <w:t xml:space="preserve">For the SUPTRS BG program’s 20 percent prevention set-aside noted below (see G.3.a.), SAMHSA requires states to allocate funds in a way that is supportive of one or more of the six primary prevention strategies as part of a comprehensive approach to prevention efforts. These strategies include (1) information dissemination, (2) education, (3) </w:t>
      </w:r>
      <w:r w:rsidRPr="007F5E4F">
        <w:rPr>
          <w:rFonts w:ascii="Arial" w:hAnsi="Arial" w:cs="Arial"/>
          <w:bCs/>
        </w:rPr>
        <w:lastRenderedPageBreak/>
        <w:t>alternatives, (4) problem identification and referral, (5) community-based processes, and (6) environmental strategy (42 USC 300x-22; 45 CFR sections 96.124 (b)(1) and 96.125).</w:t>
      </w:r>
    </w:p>
    <w:p w14:paraId="4B52314E" w14:textId="41784451" w:rsidR="007F5E4F" w:rsidRPr="007F5E4F" w:rsidRDefault="007F5E4F" w:rsidP="007F5E4F">
      <w:pPr>
        <w:spacing w:after="240"/>
        <w:jc w:val="both"/>
        <w:rPr>
          <w:rFonts w:ascii="Arial" w:hAnsi="Arial" w:cs="Arial"/>
          <w:bCs/>
          <w:i/>
          <w:iCs/>
        </w:rPr>
      </w:pPr>
      <w:r w:rsidRPr="007F5E4F">
        <w:rPr>
          <w:rFonts w:ascii="Arial" w:hAnsi="Arial" w:cs="Arial"/>
          <w:bCs/>
          <w:i/>
          <w:iCs/>
        </w:rPr>
        <w:t>2.</w:t>
      </w:r>
      <w:r w:rsidRPr="007F5E4F">
        <w:rPr>
          <w:rFonts w:ascii="Arial" w:hAnsi="Arial" w:cs="Arial"/>
          <w:bCs/>
          <w:i/>
          <w:iCs/>
        </w:rPr>
        <w:tab/>
        <w:t>Activities Unallowed</w:t>
      </w:r>
    </w:p>
    <w:p w14:paraId="7962BD2E" w14:textId="0DB2C7F7" w:rsidR="007F5E4F" w:rsidRPr="007F5E4F" w:rsidRDefault="007F5E4F" w:rsidP="007F5E4F">
      <w:pPr>
        <w:spacing w:after="240"/>
        <w:ind w:left="1440" w:hanging="720"/>
        <w:jc w:val="both"/>
        <w:rPr>
          <w:rFonts w:ascii="Arial" w:hAnsi="Arial" w:cs="Arial"/>
          <w:bCs/>
        </w:rPr>
      </w:pPr>
      <w:r w:rsidRPr="007F5E4F">
        <w:rPr>
          <w:rFonts w:ascii="Arial" w:hAnsi="Arial" w:cs="Arial"/>
          <w:bCs/>
        </w:rPr>
        <w:t>a.</w:t>
      </w:r>
      <w:r w:rsidRPr="007F5E4F">
        <w:rPr>
          <w:rFonts w:ascii="Arial" w:hAnsi="Arial" w:cs="Arial"/>
          <w:bCs/>
        </w:rPr>
        <w:tab/>
        <w:t>The state shall not use grant funds to provide inpatient hospital services except when it is determined by a physician that (a) the primary diagnosis of the individual is SUD and the physician certifies this fact; (b) the individual cannot be safely treated in a community-based non-hospital, residential treatment program; (c) the service can reasonably be expected to improve an individual’s condition or level of functioning; and (d) the hospital-based SUD program follows national standards of SUD professional practice. Additionally, the daily rate of payment provided to the hospital for providing the services to the individual cannot exceed the comparable daily rate provided for community-based non-hospital residential programs of treatment for SUD and the grant may be expended for such services only to the extent that it is medically necessary (i.e., only for those days that the patient cannot be safely treated in a residential community based program) (42 USC 300x-31(a) and (b); 45 CFR sections 96.135(a)(1) and (c)).</w:t>
      </w:r>
    </w:p>
    <w:p w14:paraId="19689D2D" w14:textId="6A90DF54" w:rsidR="007F5E4F" w:rsidRPr="007F5E4F" w:rsidRDefault="007F5E4F" w:rsidP="007F5E4F">
      <w:pPr>
        <w:spacing w:after="240"/>
        <w:ind w:left="1440" w:hanging="720"/>
        <w:jc w:val="both"/>
        <w:rPr>
          <w:rFonts w:ascii="Arial" w:hAnsi="Arial" w:cs="Arial"/>
          <w:bCs/>
        </w:rPr>
      </w:pPr>
      <w:r w:rsidRPr="007F5E4F">
        <w:rPr>
          <w:rFonts w:ascii="Arial" w:hAnsi="Arial" w:cs="Arial"/>
          <w:bCs/>
        </w:rPr>
        <w:t>b.</w:t>
      </w:r>
      <w:r w:rsidRPr="007F5E4F">
        <w:rPr>
          <w:rFonts w:ascii="Arial" w:hAnsi="Arial" w:cs="Arial"/>
          <w:bCs/>
        </w:rPr>
        <w:tab/>
        <w:t>Grant funds shall not be used to make cash payments to intended recipients of health services (42 USC 300x-31(a); 45 CFR section 96.135(a)(2)).</w:t>
      </w:r>
    </w:p>
    <w:p w14:paraId="2AB7ACA8" w14:textId="1D4D2E89" w:rsidR="007F5E4F" w:rsidRPr="007F5E4F" w:rsidRDefault="007F5E4F" w:rsidP="007F5E4F">
      <w:pPr>
        <w:spacing w:after="240"/>
        <w:ind w:left="1440" w:hanging="720"/>
        <w:jc w:val="both"/>
        <w:rPr>
          <w:rFonts w:ascii="Arial" w:hAnsi="Arial" w:cs="Arial"/>
          <w:bCs/>
        </w:rPr>
      </w:pPr>
      <w:r w:rsidRPr="007F5E4F">
        <w:rPr>
          <w:rFonts w:ascii="Arial" w:hAnsi="Arial" w:cs="Arial"/>
          <w:bCs/>
        </w:rPr>
        <w:t>c.</w:t>
      </w:r>
      <w:r w:rsidRPr="007F5E4F">
        <w:rPr>
          <w:rFonts w:ascii="Arial" w:hAnsi="Arial" w:cs="Arial"/>
          <w:bCs/>
        </w:rPr>
        <w:tab/>
        <w:t>Grant funds shall not be used to purchase or improve land, purchase, construct, or permanently improve (other than minor remodeling) any building or any other facility or purchase major medical equipment. The secretary may provide a waiver of the restriction for the construction of a new facility or rehabilitation of an existing facility, but not for land acquisition (42 USC 300x-31(a); 45 CFR sections 96.135(a)(3) and (d)).</w:t>
      </w:r>
    </w:p>
    <w:p w14:paraId="11AD7DDF" w14:textId="3B452DF5" w:rsidR="007F5E4F" w:rsidRPr="007F5E4F" w:rsidRDefault="007F5E4F" w:rsidP="007F5E4F">
      <w:pPr>
        <w:spacing w:after="240"/>
        <w:ind w:left="1440" w:hanging="720"/>
        <w:jc w:val="both"/>
        <w:rPr>
          <w:rFonts w:ascii="Arial" w:hAnsi="Arial" w:cs="Arial"/>
          <w:bCs/>
        </w:rPr>
      </w:pPr>
      <w:r w:rsidRPr="007F5E4F">
        <w:rPr>
          <w:rFonts w:ascii="Arial" w:hAnsi="Arial" w:cs="Arial"/>
          <w:bCs/>
        </w:rPr>
        <w:t>d.</w:t>
      </w:r>
      <w:r w:rsidRPr="007F5E4F">
        <w:rPr>
          <w:rFonts w:ascii="Arial" w:hAnsi="Arial" w:cs="Arial"/>
          <w:bCs/>
        </w:rPr>
        <w:tab/>
        <w:t>The state shall not use grant funds to satisfy any requirement for the expenditure of nonfederal funds as a condition for the receipt of federal funding (42 USC 300x-31(a); 45 CFR section 96.135(a)(4)).</w:t>
      </w:r>
    </w:p>
    <w:p w14:paraId="49D4B0CD" w14:textId="013DC39E" w:rsidR="007F5E4F" w:rsidRPr="007F5E4F" w:rsidRDefault="007F5E4F" w:rsidP="007F5E4F">
      <w:pPr>
        <w:spacing w:after="240"/>
        <w:ind w:left="1440" w:hanging="720"/>
        <w:jc w:val="both"/>
        <w:rPr>
          <w:rFonts w:ascii="Arial" w:hAnsi="Arial" w:cs="Arial"/>
          <w:bCs/>
        </w:rPr>
      </w:pPr>
      <w:r w:rsidRPr="007F5E4F">
        <w:rPr>
          <w:rFonts w:ascii="Arial" w:hAnsi="Arial" w:cs="Arial"/>
          <w:bCs/>
        </w:rPr>
        <w:t>e.</w:t>
      </w:r>
      <w:r w:rsidRPr="007F5E4F">
        <w:rPr>
          <w:rFonts w:ascii="Arial" w:hAnsi="Arial" w:cs="Arial"/>
          <w:bCs/>
        </w:rPr>
        <w:tab/>
        <w:t xml:space="preserve">Grant funds may not be used to provide financial assistance (i.e., a subgrant) to any entity other than a public or nonprofit entity. A state is not precluded from </w:t>
      </w:r>
      <w:proofErr w:type="gramStart"/>
      <w:r w:rsidRPr="007F5E4F">
        <w:rPr>
          <w:rFonts w:ascii="Arial" w:hAnsi="Arial" w:cs="Arial"/>
          <w:bCs/>
        </w:rPr>
        <w:t>entering into</w:t>
      </w:r>
      <w:proofErr w:type="gramEnd"/>
      <w:r w:rsidRPr="007F5E4F">
        <w:rPr>
          <w:rFonts w:ascii="Arial" w:hAnsi="Arial" w:cs="Arial"/>
          <w:bCs/>
        </w:rPr>
        <w:t xml:space="preserve"> a procurement contract for services since payments under such a contract are not financial assistance to the contractor (42 USC 300x-31(a); 45 CFR section 96.135 (a)(5)).</w:t>
      </w:r>
    </w:p>
    <w:p w14:paraId="41C30F00" w14:textId="18054108" w:rsidR="007F5E4F" w:rsidRPr="007F5E4F" w:rsidRDefault="007F5E4F" w:rsidP="007F5E4F">
      <w:pPr>
        <w:spacing w:after="240"/>
        <w:ind w:left="1440" w:hanging="720"/>
        <w:jc w:val="both"/>
        <w:rPr>
          <w:rFonts w:ascii="Arial" w:hAnsi="Arial" w:cs="Arial"/>
          <w:bCs/>
        </w:rPr>
      </w:pPr>
      <w:r w:rsidRPr="007F5E4F">
        <w:rPr>
          <w:rFonts w:ascii="Arial" w:hAnsi="Arial" w:cs="Arial"/>
          <w:bCs/>
        </w:rPr>
        <w:t>f.</w:t>
      </w:r>
      <w:r w:rsidRPr="007F5E4F">
        <w:rPr>
          <w:rFonts w:ascii="Arial" w:hAnsi="Arial" w:cs="Arial"/>
          <w:bCs/>
        </w:rPr>
        <w:tab/>
        <w:t>The state shall not expend grant funds to purchase sterile needles or syringes for the hypodermic injection of any illegal drug, provided that such limitation does not apply to the use of funds for elements of a program other than making such purchases if the relevant state or local health department, in consultation with the Centers for Disease Control and Prevention, determines that the state or local jurisdiction, as applicable, is experiencing, or is at risk for, a significant increase in hepatitis infections or an HIV outbreak due to injection drug use, and such program is operating per state and local law (42 USC 300ee-5; 45 CFR section 96.135 (a)(6); and Pub. L. No. 114-113, Division H, Title V, Section 520).</w:t>
      </w:r>
    </w:p>
    <w:p w14:paraId="2A0E7F63" w14:textId="1BFB7B60" w:rsidR="007F5E4F" w:rsidRPr="007F5E4F" w:rsidRDefault="007F5E4F" w:rsidP="007F5E4F">
      <w:pPr>
        <w:spacing w:after="240"/>
        <w:ind w:left="1440" w:hanging="720"/>
        <w:jc w:val="both"/>
        <w:rPr>
          <w:rFonts w:ascii="Arial" w:hAnsi="Arial" w:cs="Arial"/>
          <w:bCs/>
        </w:rPr>
      </w:pPr>
      <w:r w:rsidRPr="007F5E4F">
        <w:rPr>
          <w:rFonts w:ascii="Arial" w:hAnsi="Arial" w:cs="Arial"/>
          <w:bCs/>
        </w:rPr>
        <w:t>g.</w:t>
      </w:r>
      <w:r w:rsidRPr="007F5E4F">
        <w:rPr>
          <w:rFonts w:ascii="Arial" w:hAnsi="Arial" w:cs="Arial"/>
          <w:bCs/>
        </w:rPr>
        <w:tab/>
        <w:t>Grant funds may not be used to enforce state laws regarding the sale of tobacco products to individuals under the age of 18, except that grant funds may be expended from the primary prevention set aside of SUPTRS BG under 45 CFR section 96.124(b)(1) for carrying out the administrative aspects of the requirements such as the development of the sample design and the conducting of the inspections (45 CFR section 96.130 (j)).</w:t>
      </w:r>
    </w:p>
    <w:p w14:paraId="63BB5516" w14:textId="0939B656" w:rsidR="007F5E4F" w:rsidRDefault="007F5E4F" w:rsidP="007F5E4F">
      <w:pPr>
        <w:spacing w:after="240"/>
        <w:ind w:left="1440" w:hanging="720"/>
        <w:jc w:val="both"/>
        <w:rPr>
          <w:rFonts w:ascii="Arial" w:hAnsi="Arial" w:cs="Arial"/>
          <w:bCs/>
        </w:rPr>
      </w:pPr>
      <w:r w:rsidRPr="007F5E4F">
        <w:rPr>
          <w:rFonts w:ascii="Arial" w:hAnsi="Arial" w:cs="Arial"/>
          <w:bCs/>
        </w:rPr>
        <w:t>h.</w:t>
      </w:r>
      <w:r w:rsidRPr="007F5E4F">
        <w:rPr>
          <w:rFonts w:ascii="Arial" w:hAnsi="Arial" w:cs="Arial"/>
          <w:bCs/>
        </w:rPr>
        <w:tab/>
        <w:t>No funds provided directly from SAMHSA or the relevant state or local government to organizations participating in applicable programs may be expended for inherently religious activities, such as worship, religious instruction, or proselytization (42 USC 300x-65 and 42 USC 290kk; 42 CFR section 54.4).</w:t>
      </w:r>
    </w:p>
    <w:p w14:paraId="3007B4F0" w14:textId="4FC237FA" w:rsidR="007F5E4F" w:rsidRPr="007F5E4F" w:rsidRDefault="007F5E4F" w:rsidP="007F5E4F">
      <w:pPr>
        <w:spacing w:after="240"/>
        <w:jc w:val="both"/>
        <w:rPr>
          <w:rFonts w:ascii="Arial" w:hAnsi="Arial" w:cs="Arial"/>
          <w:bCs/>
          <w:highlight w:val="yellow"/>
        </w:rPr>
      </w:pPr>
      <w:r>
        <w:rPr>
          <w:rFonts w:ascii="Arial" w:hAnsi="Arial" w:cs="Arial"/>
          <w:bCs/>
          <w:i/>
        </w:rPr>
        <w:lastRenderedPageBreak/>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88510282"/>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10FFC6A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B78FD">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94117BD" w14:textId="77777777" w:rsidR="00B32774" w:rsidRDefault="00B32774" w:rsidP="00B32774">
      <w:pPr>
        <w:spacing w:after="240"/>
        <w:jc w:val="both"/>
        <w:rPr>
          <w:rFonts w:ascii="Arial" w:hAnsi="Arial" w:cs="Arial"/>
        </w:rPr>
      </w:pPr>
      <w:r w:rsidRPr="00F822BB">
        <w:rPr>
          <w:rFonts w:ascii="Arial" w:hAnsi="Arial" w:cs="Arial"/>
          <w:b/>
          <w:i/>
          <w:u w:val="single"/>
        </w:rPr>
        <w:t>OhioMHAS:</w:t>
      </w:r>
    </w:p>
    <w:p w14:paraId="5138AB04" w14:textId="77777777" w:rsidR="00B32774" w:rsidRPr="007E4EA6" w:rsidRDefault="00B32774" w:rsidP="00B32774">
      <w:pPr>
        <w:spacing w:after="240"/>
        <w:jc w:val="both"/>
        <w:rPr>
          <w:rFonts w:ascii="Arial" w:hAnsi="Arial" w:cs="Arial"/>
        </w:rPr>
      </w:pPr>
      <w:r w:rsidRPr="007E4EA6">
        <w:rPr>
          <w:rFonts w:ascii="Arial" w:hAnsi="Arial" w:cs="Arial"/>
        </w:rPr>
        <w:t xml:space="preserve">The purpose of these funds is to provide financial assistance to programs for the delivery of alcohol and other drug services/activities.  Any use of funds for equipment, furniture or computer software, or for food purchases must be justified in terms of the relationship of the equipment, furniture or computer software, or the food purchases, to the program or activity. Justification to purchase equipment, furniture, computer </w:t>
      </w:r>
      <w:r w:rsidRPr="00D67756">
        <w:rPr>
          <w:rFonts w:ascii="Arial" w:hAnsi="Arial" w:cs="Arial"/>
        </w:rPr>
        <w:t>software, or food must be submitted to the DEPARTMENT for prior approval and include</w:t>
      </w:r>
      <w:r w:rsidRPr="007E4EA6">
        <w:rPr>
          <w:rFonts w:ascii="Arial" w:hAnsi="Arial" w:cs="Arial"/>
        </w:rPr>
        <w:t xml:space="preserve"> consideration of how the equipment, furniture or computer software, or the food, will be used, why the purchase is necessary, what alternatives were considered, how the cost was determined and why the program considers the cost reasonable. Funds cannot be expended for equipment, furniture or computer software, or food, until approved by OhioMHAS.</w:t>
      </w:r>
    </w:p>
    <w:p w14:paraId="06058DF3" w14:textId="77777777" w:rsidR="00B32774" w:rsidRPr="007E4EA6" w:rsidRDefault="00B32774" w:rsidP="00B32774">
      <w:pPr>
        <w:spacing w:after="240"/>
        <w:jc w:val="both"/>
        <w:rPr>
          <w:rFonts w:ascii="Arial" w:hAnsi="Arial" w:cs="Arial"/>
        </w:rPr>
      </w:pPr>
      <w:r w:rsidRPr="007E4EA6">
        <w:rPr>
          <w:rFonts w:ascii="Arial" w:hAnsi="Arial" w:cs="Arial"/>
        </w:rPr>
        <w:t xml:space="preserve">Tuberculosis Services [45 CFR 96.127].  The SUB-AWARDEE shall ensure that agencies receiving </w:t>
      </w:r>
      <w:r>
        <w:rPr>
          <w:rFonts w:ascii="Arial" w:hAnsi="Arial" w:cs="Arial"/>
        </w:rPr>
        <w:t>SUPTRS</w:t>
      </w:r>
      <w:r w:rsidRPr="007E4EA6">
        <w:rPr>
          <w:rFonts w:ascii="Arial" w:hAnsi="Arial" w:cs="Arial"/>
        </w:rPr>
        <w:t xml:space="preserve"> Block Grant funds for operating a program of substance abuse treatment (A) will, directly or through arrangements with other public or nonprofit private entities, routinely make available tuberculosis services to each individual receiving treatment for such abuse; and (B) in the case of an individual in need of such treatment who is denied admission to a program on the basis of lack of the capacity of the program to admit the individual, will refer the individual to another provider of tuberculosis services [45 CFR 96.127].  </w:t>
      </w:r>
    </w:p>
    <w:p w14:paraId="1E23606C" w14:textId="77777777" w:rsidR="00B32774" w:rsidRPr="006B4A4A" w:rsidRDefault="00B32774" w:rsidP="00B32774">
      <w:pPr>
        <w:spacing w:after="240"/>
        <w:jc w:val="both"/>
        <w:rPr>
          <w:rFonts w:ascii="Arial" w:hAnsi="Arial" w:cs="Arial"/>
        </w:rPr>
      </w:pPr>
      <w:r w:rsidRPr="007E4EA6">
        <w:rPr>
          <w:rFonts w:ascii="Arial" w:hAnsi="Arial" w:cs="Arial"/>
        </w:rPr>
        <w:t xml:space="preserve">SUB-AWARDEE will provide to the DEPARTMENT by JULY 31 of each year a report on 1) The number of clients receiving treatment for tuberculosis in the previous fiscal year ending JUNE 30 and 2) The amount of public non-federal dollars expended for tuberculosis treatment including dollars spent by the Board of County </w:t>
      </w:r>
      <w:r w:rsidRPr="006B4A4A">
        <w:rPr>
          <w:rFonts w:ascii="Arial" w:hAnsi="Arial" w:cs="Arial"/>
        </w:rPr>
        <w:t>Commissioners or county executives and county councils established pursuant to O.R.C. 339.75.  Funds spent for tuberculosis treatment are not limited to those receiving services for substance abuse treatment but include public non-federal funds for all patients receiving tuberculosis treatment.</w:t>
      </w:r>
    </w:p>
    <w:p w14:paraId="3F2C1F87" w14:textId="655E4075" w:rsidR="00B32774" w:rsidRPr="004849DB" w:rsidRDefault="007B78FD" w:rsidP="00B32774">
      <w:pPr>
        <w:pStyle w:val="NoSpacing"/>
        <w:spacing w:after="240"/>
        <w:jc w:val="both"/>
        <w:rPr>
          <w:rFonts w:ascii="Arial" w:hAnsi="Arial" w:cs="Arial"/>
          <w:sz w:val="20"/>
          <w:szCs w:val="20"/>
        </w:rPr>
      </w:pPr>
      <w:r>
        <w:rPr>
          <w:rFonts w:ascii="Arial" w:hAnsi="Arial" w:cs="Arial"/>
          <w:sz w:val="20"/>
          <w:szCs w:val="20"/>
        </w:rPr>
        <w:t>SUPTRS Block Grant funds will</w:t>
      </w:r>
      <w:r w:rsidR="00B32774" w:rsidRPr="004849DB">
        <w:rPr>
          <w:rFonts w:ascii="Arial" w:hAnsi="Arial" w:cs="Arial"/>
          <w:sz w:val="20"/>
          <w:szCs w:val="20"/>
        </w:rPr>
        <w:t xml:space="preserve"> not be used to: </w:t>
      </w:r>
    </w:p>
    <w:p w14:paraId="1AC24FDE" w14:textId="3CC48680" w:rsidR="00B32774" w:rsidRPr="004849DB" w:rsidRDefault="00B32774" w:rsidP="00B32774">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t xml:space="preserve">A. </w:t>
      </w:r>
      <w:r w:rsidRPr="004849DB">
        <w:rPr>
          <w:rFonts w:ascii="Arial" w:hAnsi="Arial" w:cs="Arial"/>
          <w:sz w:val="20"/>
          <w:szCs w:val="20"/>
        </w:rPr>
        <w:tab/>
        <w:t>provide inpatient hospital services</w:t>
      </w:r>
      <w:r w:rsidR="007B78FD">
        <w:rPr>
          <w:rFonts w:ascii="Arial" w:hAnsi="Arial" w:cs="Arial"/>
          <w:sz w:val="20"/>
          <w:szCs w:val="20"/>
        </w:rPr>
        <w:t xml:space="preserve"> (unless prohibition waived for SUPTRS);</w:t>
      </w:r>
      <w:r w:rsidRPr="004849DB">
        <w:rPr>
          <w:rFonts w:ascii="Arial" w:hAnsi="Arial" w:cs="Arial"/>
          <w:sz w:val="20"/>
          <w:szCs w:val="20"/>
        </w:rPr>
        <w:t xml:space="preserve"> </w:t>
      </w:r>
    </w:p>
    <w:p w14:paraId="2B7EB89D" w14:textId="5A68A52E" w:rsidR="00B32774" w:rsidRPr="004849DB" w:rsidRDefault="00B32774" w:rsidP="00B32774">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t xml:space="preserve">B. </w:t>
      </w:r>
      <w:r w:rsidRPr="004849DB">
        <w:rPr>
          <w:rFonts w:ascii="Arial" w:hAnsi="Arial" w:cs="Arial"/>
          <w:sz w:val="20"/>
          <w:szCs w:val="20"/>
        </w:rPr>
        <w:tab/>
        <w:t xml:space="preserve">make cash payments to intended recipients of health services; </w:t>
      </w:r>
    </w:p>
    <w:p w14:paraId="377D2505" w14:textId="39963939" w:rsidR="00B32774" w:rsidRPr="004849DB" w:rsidRDefault="00B32774" w:rsidP="00B32774">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t xml:space="preserve">C. </w:t>
      </w:r>
      <w:r w:rsidRPr="004849DB">
        <w:rPr>
          <w:rFonts w:ascii="Arial" w:hAnsi="Arial" w:cs="Arial"/>
          <w:sz w:val="20"/>
          <w:szCs w:val="20"/>
        </w:rPr>
        <w:tab/>
        <w:t xml:space="preserve">purchase or improve land, purchase, construct, or permanently improve (other than minor remodeling) </w:t>
      </w:r>
      <w:r w:rsidR="007B78FD">
        <w:rPr>
          <w:rFonts w:ascii="Arial" w:hAnsi="Arial" w:cs="Arial"/>
          <w:sz w:val="20"/>
          <w:szCs w:val="20"/>
        </w:rPr>
        <w:t>a</w:t>
      </w:r>
      <w:r w:rsidRPr="004849DB">
        <w:rPr>
          <w:rFonts w:ascii="Arial" w:hAnsi="Arial" w:cs="Arial"/>
          <w:sz w:val="20"/>
          <w:szCs w:val="20"/>
        </w:rPr>
        <w:t xml:space="preserve"> building or other facility, or purchase major medical equipment; </w:t>
      </w:r>
    </w:p>
    <w:p w14:paraId="5701FD51" w14:textId="41AD853A" w:rsidR="00B32774" w:rsidRPr="004849DB" w:rsidRDefault="00B32774" w:rsidP="00B32774">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t xml:space="preserve">D. </w:t>
      </w:r>
      <w:r w:rsidRPr="004849DB">
        <w:rPr>
          <w:rFonts w:ascii="Arial" w:hAnsi="Arial" w:cs="Arial"/>
          <w:sz w:val="20"/>
          <w:szCs w:val="20"/>
        </w:rPr>
        <w:tab/>
        <w:t xml:space="preserve">satisfy any requirement for the expenditure of non-Federal funds as a condition </w:t>
      </w:r>
      <w:r w:rsidR="007B78FD">
        <w:rPr>
          <w:rFonts w:ascii="Arial" w:hAnsi="Arial" w:cs="Arial"/>
          <w:sz w:val="20"/>
          <w:szCs w:val="20"/>
        </w:rPr>
        <w:t>of</w:t>
      </w:r>
      <w:r w:rsidRPr="004849DB">
        <w:rPr>
          <w:rFonts w:ascii="Arial" w:hAnsi="Arial" w:cs="Arial"/>
          <w:sz w:val="20"/>
          <w:szCs w:val="20"/>
        </w:rPr>
        <w:t xml:space="preserve"> the receipt of Federal funds; </w:t>
      </w:r>
    </w:p>
    <w:p w14:paraId="025FF7BA" w14:textId="61E21C49" w:rsidR="00B32774" w:rsidRPr="004849DB" w:rsidRDefault="00B32774" w:rsidP="00B32774">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t xml:space="preserve">E. </w:t>
      </w:r>
      <w:r w:rsidRPr="004849DB">
        <w:rPr>
          <w:rFonts w:ascii="Arial" w:hAnsi="Arial" w:cs="Arial"/>
          <w:sz w:val="20"/>
          <w:szCs w:val="20"/>
        </w:rPr>
        <w:tab/>
        <w:t>provide financial assistance</w:t>
      </w:r>
      <w:r w:rsidR="007B78FD">
        <w:rPr>
          <w:rFonts w:ascii="Arial" w:hAnsi="Arial" w:cs="Arial"/>
          <w:sz w:val="20"/>
          <w:szCs w:val="20"/>
        </w:rPr>
        <w:t xml:space="preserve">, defined as </w:t>
      </w:r>
      <w:r w:rsidRPr="004849DB">
        <w:rPr>
          <w:rFonts w:ascii="Arial" w:hAnsi="Arial" w:cs="Arial"/>
          <w:sz w:val="20"/>
          <w:szCs w:val="20"/>
        </w:rPr>
        <w:t>grants</w:t>
      </w:r>
      <w:r w:rsidR="007B78FD">
        <w:rPr>
          <w:rFonts w:ascii="Arial" w:hAnsi="Arial" w:cs="Arial"/>
          <w:sz w:val="20"/>
          <w:szCs w:val="20"/>
        </w:rPr>
        <w:t>,</w:t>
      </w:r>
      <w:r w:rsidRPr="004849DB">
        <w:rPr>
          <w:rFonts w:ascii="Arial" w:hAnsi="Arial" w:cs="Arial"/>
          <w:sz w:val="20"/>
          <w:szCs w:val="20"/>
        </w:rPr>
        <w:t xml:space="preserve"> to any entity other than a public or nonprofit entity</w:t>
      </w:r>
      <w:r w:rsidR="007B78FD">
        <w:rPr>
          <w:rFonts w:ascii="Arial" w:hAnsi="Arial" w:cs="Arial"/>
          <w:sz w:val="20"/>
          <w:szCs w:val="20"/>
        </w:rPr>
        <w:t xml:space="preserve">, subawardees may contract with for profit entities; </w:t>
      </w:r>
      <w:r w:rsidRPr="004849DB">
        <w:rPr>
          <w:rFonts w:ascii="Arial" w:hAnsi="Arial" w:cs="Arial"/>
          <w:sz w:val="20"/>
          <w:szCs w:val="20"/>
        </w:rPr>
        <w:t xml:space="preserve"> </w:t>
      </w:r>
    </w:p>
    <w:p w14:paraId="36AF523E" w14:textId="3A640B1D" w:rsidR="00B32774" w:rsidRPr="004849DB" w:rsidRDefault="00B32774" w:rsidP="00B32774">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lastRenderedPageBreak/>
        <w:t xml:space="preserve">F. </w:t>
      </w:r>
      <w:r w:rsidRPr="004849DB">
        <w:rPr>
          <w:rFonts w:ascii="Arial" w:hAnsi="Arial" w:cs="Arial"/>
          <w:sz w:val="20"/>
          <w:szCs w:val="20"/>
        </w:rPr>
        <w:tab/>
      </w:r>
      <w:r w:rsidR="007B78FD">
        <w:rPr>
          <w:rFonts w:ascii="Arial" w:hAnsi="Arial" w:cs="Arial"/>
          <w:sz w:val="20"/>
          <w:szCs w:val="20"/>
        </w:rPr>
        <w:t xml:space="preserve">Fund research (excludes evaluation of programs and services included in the consolidated Community Mental Health/Substance Abuse Treatment and Prevention Block Grant Plan); or </w:t>
      </w:r>
    </w:p>
    <w:p w14:paraId="51FC8712" w14:textId="77777777" w:rsidR="007B78FD" w:rsidRDefault="00B32774" w:rsidP="007B78FD">
      <w:pPr>
        <w:pStyle w:val="NoSpacing"/>
        <w:tabs>
          <w:tab w:val="left" w:pos="720"/>
        </w:tabs>
        <w:spacing w:after="240"/>
        <w:ind w:left="720" w:hanging="360"/>
        <w:jc w:val="both"/>
        <w:rPr>
          <w:rFonts w:ascii="Arial" w:hAnsi="Arial" w:cs="Arial"/>
          <w:sz w:val="20"/>
          <w:szCs w:val="20"/>
        </w:rPr>
      </w:pPr>
      <w:r w:rsidRPr="004849DB">
        <w:rPr>
          <w:rFonts w:ascii="Arial" w:hAnsi="Arial" w:cs="Arial"/>
          <w:sz w:val="20"/>
          <w:szCs w:val="20"/>
        </w:rPr>
        <w:t xml:space="preserve">G. </w:t>
      </w:r>
      <w:r w:rsidRPr="004849DB">
        <w:rPr>
          <w:rFonts w:ascii="Arial" w:hAnsi="Arial" w:cs="Arial"/>
          <w:sz w:val="20"/>
          <w:szCs w:val="20"/>
        </w:rPr>
        <w:tab/>
      </w:r>
      <w:r w:rsidR="007B78FD" w:rsidRPr="007B78FD">
        <w:rPr>
          <w:rFonts w:ascii="Arial" w:hAnsi="Arial" w:cs="Arial"/>
          <w:sz w:val="20"/>
          <w:szCs w:val="20"/>
        </w:rPr>
        <w:t>To provide individuals with hypodermic needles or syringes so that such individuals</w:t>
      </w:r>
      <w:r w:rsidR="007B78FD">
        <w:rPr>
          <w:rFonts w:ascii="Arial" w:hAnsi="Arial" w:cs="Arial"/>
          <w:sz w:val="20"/>
          <w:szCs w:val="20"/>
        </w:rPr>
        <w:t xml:space="preserve"> </w:t>
      </w:r>
      <w:r w:rsidR="007B78FD" w:rsidRPr="007B78FD">
        <w:rPr>
          <w:rFonts w:ascii="Arial" w:hAnsi="Arial" w:cs="Arial"/>
          <w:sz w:val="20"/>
          <w:szCs w:val="20"/>
        </w:rPr>
        <w:t>may use illegal drugs, unless the Surgeon General of the Public Health Service</w:t>
      </w:r>
      <w:r w:rsidR="007B78FD">
        <w:rPr>
          <w:rFonts w:ascii="Arial" w:hAnsi="Arial" w:cs="Arial"/>
          <w:sz w:val="20"/>
          <w:szCs w:val="20"/>
        </w:rPr>
        <w:t xml:space="preserve"> </w:t>
      </w:r>
      <w:r w:rsidR="007B78FD" w:rsidRPr="007B78FD">
        <w:rPr>
          <w:rFonts w:ascii="Arial" w:hAnsi="Arial" w:cs="Arial"/>
          <w:sz w:val="20"/>
          <w:szCs w:val="20"/>
        </w:rPr>
        <w:t>determines that a demonstration needle exchange program would be effective in</w:t>
      </w:r>
      <w:r w:rsidR="007B78FD">
        <w:rPr>
          <w:rFonts w:ascii="Arial" w:hAnsi="Arial" w:cs="Arial"/>
          <w:sz w:val="20"/>
          <w:szCs w:val="20"/>
        </w:rPr>
        <w:t xml:space="preserve"> </w:t>
      </w:r>
      <w:r w:rsidR="007B78FD" w:rsidRPr="007B78FD">
        <w:rPr>
          <w:rFonts w:ascii="Arial" w:hAnsi="Arial" w:cs="Arial"/>
          <w:sz w:val="20"/>
          <w:szCs w:val="20"/>
        </w:rPr>
        <w:t>reducing drug abuse and the risk that the public will become infected with the</w:t>
      </w:r>
      <w:r w:rsidR="007B78FD">
        <w:rPr>
          <w:rFonts w:ascii="Arial" w:hAnsi="Arial" w:cs="Arial"/>
          <w:sz w:val="20"/>
          <w:szCs w:val="20"/>
        </w:rPr>
        <w:t xml:space="preserve"> </w:t>
      </w:r>
      <w:r w:rsidR="007B78FD" w:rsidRPr="007B78FD">
        <w:rPr>
          <w:rFonts w:ascii="Arial" w:hAnsi="Arial" w:cs="Arial"/>
          <w:sz w:val="20"/>
          <w:szCs w:val="20"/>
        </w:rPr>
        <w:t>etiologic agent for AIDS.</w:t>
      </w:r>
      <w:r w:rsidR="007B78FD">
        <w:rPr>
          <w:rFonts w:ascii="Arial" w:hAnsi="Arial" w:cs="Arial"/>
          <w:sz w:val="20"/>
          <w:szCs w:val="20"/>
        </w:rPr>
        <w:t xml:space="preserve"> </w:t>
      </w:r>
    </w:p>
    <w:p w14:paraId="7EF2ECCA" w14:textId="68077AD2" w:rsidR="00B32774" w:rsidRPr="004849DB" w:rsidRDefault="007B78FD" w:rsidP="007B78FD">
      <w:pPr>
        <w:pStyle w:val="NoSpacing"/>
        <w:tabs>
          <w:tab w:val="left" w:pos="990"/>
          <w:tab w:val="left" w:pos="1080"/>
          <w:tab w:val="left" w:pos="1350"/>
        </w:tabs>
        <w:spacing w:after="240"/>
        <w:jc w:val="both"/>
        <w:rPr>
          <w:rFonts w:ascii="Arial" w:hAnsi="Arial" w:cs="Arial"/>
          <w:sz w:val="20"/>
          <w:szCs w:val="20"/>
        </w:rPr>
      </w:pPr>
      <w:r>
        <w:rPr>
          <w:rFonts w:ascii="Arial" w:hAnsi="Arial" w:cs="Arial"/>
          <w:sz w:val="20"/>
          <w:szCs w:val="20"/>
        </w:rPr>
        <w:t>Grant funds will not be used, directly or indirectly, to p</w:t>
      </w:r>
      <w:r w:rsidR="00B32774" w:rsidRPr="004849DB">
        <w:rPr>
          <w:rFonts w:ascii="Arial" w:hAnsi="Arial" w:cs="Arial"/>
          <w:sz w:val="20"/>
          <w:szCs w:val="20"/>
        </w:rPr>
        <w:t>urchase, prescribe, or provide marijuana or treatment using marijuana</w:t>
      </w:r>
      <w:r>
        <w:rPr>
          <w:rFonts w:ascii="Arial" w:hAnsi="Arial" w:cs="Arial"/>
          <w:sz w:val="20"/>
          <w:szCs w:val="20"/>
        </w:rPr>
        <w:t>.</w:t>
      </w:r>
    </w:p>
    <w:p w14:paraId="04546E44" w14:textId="77777777" w:rsidR="007B78FD" w:rsidRPr="00D94F69" w:rsidRDefault="007B78FD" w:rsidP="007B78FD">
      <w:pPr>
        <w:spacing w:after="240"/>
        <w:jc w:val="both"/>
        <w:rPr>
          <w:rFonts w:ascii="Arial" w:hAnsi="Arial" w:cs="Arial"/>
        </w:rPr>
      </w:pPr>
      <w:bookmarkStart w:id="33" w:name="_Hlk124929546"/>
      <w:r w:rsidRPr="006B4A4A">
        <w:rPr>
          <w:rFonts w:ascii="Arial" w:hAnsi="Arial" w:cs="Arial"/>
          <w:i/>
        </w:rPr>
        <w:t xml:space="preserve">(Source: </w:t>
      </w:r>
      <w:hyperlink r:id="rId37" w:history="1">
        <w:r w:rsidRPr="00E6054C">
          <w:rPr>
            <w:rStyle w:val="Hyperlink"/>
            <w:rFonts w:cs="Arial"/>
            <w:i/>
          </w:rPr>
          <w:t>2024 OhioMHAS Agreement and Assurances</w:t>
        </w:r>
      </w:hyperlink>
      <w:r w:rsidRPr="006B4A4A">
        <w:rPr>
          <w:rStyle w:val="Hyperlink"/>
          <w:rFonts w:cs="Arial"/>
          <w:i/>
          <w:color w:val="auto"/>
          <w:u w:val="none"/>
        </w:rPr>
        <w:t>)</w:t>
      </w:r>
    </w:p>
    <w:p w14:paraId="57EFB075" w14:textId="77777777" w:rsidR="00E41AA1" w:rsidRPr="00A0464C" w:rsidRDefault="00072C5E" w:rsidP="00F00D94">
      <w:pPr>
        <w:pStyle w:val="Heading3"/>
        <w:rPr>
          <w:sz w:val="24"/>
          <w:szCs w:val="24"/>
        </w:rPr>
      </w:pPr>
      <w:bookmarkStart w:id="34" w:name="_Toc188510283"/>
      <w:bookmarkEnd w:id="33"/>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88510284"/>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88510285"/>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2BAAE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88510286"/>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C85A4E8"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88510287"/>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498EF39"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2"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574FE79" w:rsidR="00545700" w:rsidRPr="00F00D94" w:rsidRDefault="00545700" w:rsidP="006672EA">
      <w:pPr>
        <w:spacing w:after="240"/>
        <w:jc w:val="both"/>
        <w:rPr>
          <w:rFonts w:ascii="Arial" w:hAnsi="Arial" w:cs="Arial"/>
        </w:rPr>
      </w:pPr>
      <w:hyperlink r:id="rId43"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D93B33F" w14:textId="7F77D158" w:rsidR="007F5E4F" w:rsidRPr="007F5E4F" w:rsidRDefault="007F5E4F" w:rsidP="005C6C7A">
      <w:pPr>
        <w:spacing w:after="240"/>
        <w:jc w:val="both"/>
        <w:rPr>
          <w:rFonts w:ascii="Arial" w:hAnsi="Arial" w:cs="Arial"/>
          <w:bCs/>
          <w:iCs/>
        </w:rPr>
      </w:pPr>
      <w:r w:rsidRPr="007F5E4F">
        <w:rPr>
          <w:rFonts w:ascii="Arial" w:hAnsi="Arial" w:cs="Arial"/>
          <w:bCs/>
          <w:iCs/>
        </w:rPr>
        <w:t xml:space="preserve">As specified in Appendix I to </w:t>
      </w:r>
      <w:r w:rsidR="00643CE7">
        <w:rPr>
          <w:rFonts w:ascii="Arial" w:hAnsi="Arial" w:cs="Arial"/>
          <w:bCs/>
          <w:iCs/>
        </w:rPr>
        <w:t>the OMB Compliance</w:t>
      </w:r>
      <w:r w:rsidRPr="007F5E4F">
        <w:rPr>
          <w:rFonts w:ascii="Arial" w:hAnsi="Arial" w:cs="Arial"/>
          <w:bCs/>
          <w:iCs/>
        </w:rPr>
        <w:t xml:space="preserve"> Supplement, “Federal Programs Excluded from the A- 102 Common Rule and Portions of 2 CFR Part 200,” SUPTRS BG is exempt from the provisions of the OMB cost principles. State cost principles requirements apply to SUPTRS BG.</w:t>
      </w:r>
    </w:p>
    <w:p w14:paraId="35A5FD66" w14:textId="50E309A0" w:rsidR="007F5E4F" w:rsidRPr="004A0AB6" w:rsidRDefault="007F5E4F" w:rsidP="005C6C7A">
      <w:pPr>
        <w:spacing w:after="240"/>
        <w:jc w:val="both"/>
        <w:rPr>
          <w:rFonts w:ascii="Arial" w:hAnsi="Arial" w:cs="Arial"/>
          <w:b/>
          <w:highlight w:val="yellow"/>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88510288"/>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217363D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3CE7">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50056D9" w14:textId="77777777" w:rsidR="00B32774" w:rsidRPr="00954800" w:rsidRDefault="00B32774" w:rsidP="00B32774">
      <w:pPr>
        <w:spacing w:after="240"/>
        <w:jc w:val="both"/>
        <w:rPr>
          <w:rFonts w:ascii="Arial" w:hAnsi="Arial" w:cs="Arial"/>
        </w:rPr>
      </w:pPr>
      <w:r w:rsidRPr="00954800">
        <w:rPr>
          <w:rFonts w:ascii="Arial" w:hAnsi="Arial" w:cs="Arial"/>
          <w:b/>
          <w:i/>
          <w:u w:val="single"/>
        </w:rPr>
        <w:lastRenderedPageBreak/>
        <w:t>OhioMHAS:</w:t>
      </w:r>
    </w:p>
    <w:p w14:paraId="79107B66" w14:textId="77777777" w:rsidR="00B32774" w:rsidRPr="00954800" w:rsidRDefault="00B32774" w:rsidP="00B32774">
      <w:pPr>
        <w:spacing w:after="240"/>
        <w:jc w:val="both"/>
        <w:rPr>
          <w:rFonts w:ascii="Arial" w:hAnsi="Arial" w:cs="Arial"/>
        </w:rPr>
      </w:pPr>
      <w:r w:rsidRPr="00954800">
        <w:rPr>
          <w:rFonts w:ascii="Arial" w:hAnsi="Arial" w:cs="Arial"/>
        </w:rPr>
        <w:t xml:space="preserve">While certain sections of 2 CFR 200 (as noted above) do not apply, subawards through Ohio MHAS must comply with the provision of 45 CFR Part 75 and 45 CFR Part 96. </w:t>
      </w:r>
    </w:p>
    <w:p w14:paraId="3E207BC4" w14:textId="0C497845" w:rsidR="00B32774" w:rsidRPr="00B32774" w:rsidRDefault="00B32774" w:rsidP="003D439B">
      <w:pPr>
        <w:spacing w:after="240"/>
        <w:jc w:val="both"/>
        <w:rPr>
          <w:rFonts w:ascii="Arial" w:hAnsi="Arial" w:cs="Arial"/>
          <w:b/>
          <w:highlight w:val="yellow"/>
        </w:rPr>
      </w:pPr>
      <w:bookmarkStart w:id="43" w:name="_Hlk124929338"/>
      <w:r w:rsidRPr="00954800">
        <w:rPr>
          <w:rFonts w:ascii="Arial" w:hAnsi="Arial" w:cs="Arial"/>
          <w:i/>
        </w:rPr>
        <w:t>(Source:</w:t>
      </w:r>
      <w:r>
        <w:rPr>
          <w:rFonts w:ascii="Arial" w:hAnsi="Arial" w:cs="Arial"/>
          <w:i/>
        </w:rPr>
        <w:t xml:space="preserve"> </w:t>
      </w:r>
      <w:hyperlink r:id="rId44" w:history="1">
        <w:r w:rsidRPr="00954800">
          <w:rPr>
            <w:rStyle w:val="Hyperlink"/>
            <w:rFonts w:cs="Arial"/>
            <w:i/>
          </w:rPr>
          <w:t>2024 OhioMHAS Agreement and Assurances</w:t>
        </w:r>
      </w:hyperlink>
      <w:r w:rsidRPr="00954800">
        <w:rPr>
          <w:rStyle w:val="Hyperlink"/>
          <w:rFonts w:cs="Arial"/>
          <w:i/>
          <w:color w:val="auto"/>
          <w:u w:val="none"/>
        </w:rPr>
        <w:t>)</w:t>
      </w:r>
      <w:bookmarkEnd w:id="43"/>
    </w:p>
    <w:p w14:paraId="2148D788" w14:textId="070F5306" w:rsidR="000723D6" w:rsidRPr="00FA4759" w:rsidRDefault="000723D6" w:rsidP="006672EA">
      <w:pPr>
        <w:pStyle w:val="Heading3"/>
        <w:jc w:val="both"/>
        <w:rPr>
          <w:rFonts w:cs="Arial"/>
          <w:sz w:val="24"/>
          <w:szCs w:val="24"/>
        </w:rPr>
      </w:pPr>
      <w:bookmarkStart w:id="44" w:name="_Toc18851028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188510290"/>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w:t>
      </w:r>
      <w:r w:rsidRPr="00AA6A4A">
        <w:rPr>
          <w:rFonts w:ascii="Arial" w:hAnsi="Arial" w:cs="Arial"/>
        </w:rPr>
        <w:lastRenderedPageBreak/>
        <w:t>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lastRenderedPageBreak/>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lastRenderedPageBreak/>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8"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8"/>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1D76C58"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If the direct cost base is not limited to direct salaries and wages, determine that distorting items are excluded from the base.  Examples of distorting items include capital expenditures, flow-through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188510291"/>
      <w:r w:rsidRPr="00FA4759">
        <w:rPr>
          <w:rFonts w:cs="Arial"/>
          <w:sz w:val="24"/>
          <w:szCs w:val="24"/>
        </w:rPr>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1E07F9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50" w:name="B__LIST_OF_SELECTED_ITEMS"/>
      <w:bookmarkStart w:id="51" w:name="C___CASH_MANAGEMENT"/>
      <w:bookmarkStart w:id="52" w:name="_Toc442267690"/>
      <w:bookmarkStart w:id="53" w:name="_Toc188510292"/>
      <w:bookmarkEnd w:id="50"/>
      <w:bookmarkEnd w:id="51"/>
      <w:r w:rsidRPr="00C95501">
        <w:rPr>
          <w:rFonts w:cs="Arial"/>
          <w:sz w:val="24"/>
        </w:rPr>
        <w:lastRenderedPageBreak/>
        <w:t xml:space="preserve">C. </w:t>
      </w:r>
      <w:r w:rsidR="00341FBE" w:rsidRPr="00C95501">
        <w:rPr>
          <w:rFonts w:cs="Arial"/>
          <w:sz w:val="24"/>
        </w:rPr>
        <w:t>CASH MANAGEMENT</w:t>
      </w:r>
      <w:bookmarkEnd w:id="52"/>
      <w:bookmarkEnd w:id="53"/>
    </w:p>
    <w:p w14:paraId="2DD0D478" w14:textId="77777777" w:rsidR="00341FBE" w:rsidRPr="00C95501" w:rsidRDefault="006A15E5" w:rsidP="006672EA">
      <w:pPr>
        <w:pStyle w:val="Heading3"/>
        <w:jc w:val="both"/>
        <w:rPr>
          <w:rFonts w:cs="Arial"/>
          <w:sz w:val="24"/>
          <w:szCs w:val="24"/>
        </w:rPr>
      </w:pPr>
      <w:bookmarkStart w:id="54" w:name="_Toc442267691"/>
      <w:bookmarkStart w:id="55" w:name="_Toc188510293"/>
      <w:r w:rsidRPr="00C95501">
        <w:rPr>
          <w:rFonts w:cs="Arial"/>
          <w:sz w:val="24"/>
          <w:szCs w:val="24"/>
        </w:rPr>
        <w:t xml:space="preserve">OMB </w:t>
      </w:r>
      <w:r w:rsidR="00341FBE" w:rsidRPr="00C95501">
        <w:rPr>
          <w:rFonts w:cs="Arial"/>
          <w:sz w:val="24"/>
          <w:szCs w:val="24"/>
        </w:rPr>
        <w:t>Compliance Requirements</w:t>
      </w:r>
      <w:bookmarkEnd w:id="54"/>
      <w:bookmarkEnd w:id="55"/>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xml:space="preserve">). A non-federal entity must be paid in advance </w:t>
      </w:r>
      <w:proofErr w:type="gramStart"/>
      <w:r w:rsidRPr="0028486A">
        <w:rPr>
          <w:rFonts w:ascii="Arial" w:hAnsi="Arial" w:cs="Arial"/>
          <w:color w:val="231F20"/>
          <w:szCs w:val="20"/>
        </w:rPr>
        <w:t>provided that</w:t>
      </w:r>
      <w:proofErr w:type="gramEnd"/>
      <w:r w:rsidRPr="0028486A">
        <w:rPr>
          <w:rFonts w:ascii="Arial" w:hAnsi="Arial" w:cs="Arial"/>
          <w:color w:val="231F20"/>
          <w:szCs w:val="20"/>
        </w:rPr>
        <w:t xml:space="preserve">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035991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4F2DB38F"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5D47AF98" w14:textId="5DEE9214" w:rsidR="007F5E4F" w:rsidRPr="007F5E4F" w:rsidRDefault="007F5E4F" w:rsidP="007F5E4F">
      <w:pPr>
        <w:spacing w:after="240"/>
        <w:jc w:val="both"/>
        <w:rPr>
          <w:rFonts w:ascii="Arial" w:hAnsi="Arial" w:cs="Arial"/>
          <w:bCs/>
          <w:iCs/>
        </w:rPr>
      </w:pPr>
      <w:r w:rsidRPr="007F5E4F">
        <w:rPr>
          <w:rFonts w:ascii="Arial" w:hAnsi="Arial" w:cs="Arial"/>
          <w:bCs/>
          <w:iCs/>
        </w:rPr>
        <w:t>SAMHSA will make payments at such times and in such amounts to each state from its awards in advance or by way of reimbursement per section 203 of the Intergovernmental Cooperation Act (42 USC 4213) and Treasury Circular No. 1075 (31 CFR Part 205) (45</w:t>
      </w:r>
      <w:r>
        <w:rPr>
          <w:rFonts w:ascii="Arial" w:hAnsi="Arial" w:cs="Arial"/>
          <w:bCs/>
          <w:iCs/>
        </w:rPr>
        <w:t xml:space="preserve"> </w:t>
      </w:r>
      <w:r w:rsidRPr="007F5E4F">
        <w:rPr>
          <w:rFonts w:ascii="Arial" w:hAnsi="Arial" w:cs="Arial"/>
          <w:bCs/>
          <w:iCs/>
        </w:rPr>
        <w:t>CFR section 96.12).</w:t>
      </w:r>
    </w:p>
    <w:p w14:paraId="1293577E" w14:textId="1CB2B6FF" w:rsidR="007F5E4F" w:rsidRPr="004A0AB6" w:rsidRDefault="007F5E4F" w:rsidP="00D74E6A">
      <w:pPr>
        <w:spacing w:after="240"/>
        <w:jc w:val="both"/>
        <w:rPr>
          <w:rFonts w:ascii="Arial" w:hAnsi="Arial" w:cs="Arial"/>
          <w:b/>
          <w:highlight w:val="yellow"/>
        </w:rPr>
      </w:pPr>
      <w:r>
        <w:rPr>
          <w:rFonts w:ascii="Arial" w:hAnsi="Arial" w:cs="Arial"/>
          <w:bCs/>
          <w:i/>
        </w:rPr>
        <w:lastRenderedPageBreak/>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6" w:name="_Toc188510294"/>
      <w:r w:rsidRPr="00C95501">
        <w:rPr>
          <w:rFonts w:cs="Arial"/>
          <w:sz w:val="24"/>
          <w:szCs w:val="24"/>
        </w:rPr>
        <w:t>Additional Program Specific Information</w:t>
      </w:r>
      <w:bookmarkEnd w:id="56"/>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6DF412C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526B5A">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CEA2BCA" w14:textId="77777777" w:rsidR="00B32774" w:rsidRDefault="00B32774" w:rsidP="00B32774">
      <w:pPr>
        <w:spacing w:after="240"/>
        <w:jc w:val="both"/>
        <w:rPr>
          <w:rFonts w:ascii="Arial" w:hAnsi="Arial" w:cs="Arial"/>
        </w:rPr>
      </w:pPr>
      <w:r w:rsidRPr="00F822BB">
        <w:rPr>
          <w:rFonts w:ascii="Arial" w:hAnsi="Arial" w:cs="Arial"/>
          <w:b/>
          <w:i/>
          <w:u w:val="single"/>
        </w:rPr>
        <w:t>OhioMHAS:</w:t>
      </w:r>
    </w:p>
    <w:p w14:paraId="1E9EC771" w14:textId="77777777" w:rsidR="00B32774" w:rsidRPr="007E4EA6" w:rsidRDefault="00B32774" w:rsidP="00B32774">
      <w:pPr>
        <w:spacing w:after="240"/>
        <w:jc w:val="both"/>
        <w:rPr>
          <w:rFonts w:ascii="Arial" w:hAnsi="Arial" w:cs="Arial"/>
        </w:rPr>
      </w:pPr>
      <w:r w:rsidRPr="007E4EA6">
        <w:rPr>
          <w:rFonts w:ascii="Arial" w:hAnsi="Arial" w:cs="Arial"/>
        </w:rPr>
        <w:t>Ohio MHAS processes funds to local Boards through automatic quarterl</w:t>
      </w:r>
      <w:r>
        <w:rPr>
          <w:rFonts w:ascii="Arial" w:hAnsi="Arial" w:cs="Arial"/>
        </w:rPr>
        <w:t>y distributions via Grants and Funds Management System (GFMS)</w:t>
      </w:r>
      <w:r w:rsidRPr="007E4EA6">
        <w:rPr>
          <w:rFonts w:ascii="Arial" w:hAnsi="Arial" w:cs="Arial"/>
        </w:rPr>
        <w:t xml:space="preserve">. </w:t>
      </w:r>
    </w:p>
    <w:p w14:paraId="6FEBDD6F" w14:textId="50EC2616" w:rsidR="00B32774" w:rsidRPr="00B32774" w:rsidRDefault="00B32774" w:rsidP="00B32774">
      <w:pPr>
        <w:pStyle w:val="NoSpacing"/>
        <w:spacing w:after="240"/>
        <w:jc w:val="both"/>
        <w:rPr>
          <w:rFonts w:ascii="Arial" w:hAnsi="Arial" w:cs="Arial"/>
          <w:sz w:val="20"/>
          <w:szCs w:val="20"/>
        </w:rPr>
      </w:pPr>
      <w:r w:rsidRPr="006B4A4A">
        <w:rPr>
          <w:rFonts w:ascii="Arial" w:hAnsi="Arial" w:cs="Arial"/>
          <w:i/>
          <w:sz w:val="20"/>
          <w:szCs w:val="20"/>
        </w:rPr>
        <w:t>(Source:</w:t>
      </w:r>
      <w:r w:rsidR="00526B5A">
        <w:rPr>
          <w:rFonts w:ascii="Arial" w:hAnsi="Arial" w:cs="Arial"/>
          <w:i/>
          <w:sz w:val="20"/>
          <w:szCs w:val="20"/>
        </w:rPr>
        <w:t xml:space="preserve"> Dex Stanger,</w:t>
      </w:r>
      <w:r w:rsidR="00526B5A" w:rsidRPr="00526B5A">
        <w:t xml:space="preserve"> </w:t>
      </w:r>
      <w:r w:rsidR="00526B5A" w:rsidRPr="00526B5A">
        <w:rPr>
          <w:rFonts w:ascii="Arial" w:hAnsi="Arial" w:cs="Arial"/>
          <w:i/>
          <w:sz w:val="20"/>
          <w:szCs w:val="20"/>
        </w:rPr>
        <w:t xml:space="preserve">OhioMHAS </w:t>
      </w:r>
      <w:r w:rsidR="00526B5A">
        <w:rPr>
          <w:rFonts w:ascii="Arial" w:hAnsi="Arial" w:cs="Arial"/>
          <w:i/>
          <w:sz w:val="20"/>
          <w:szCs w:val="20"/>
        </w:rPr>
        <w:t>Chief Fiscal Officer</w:t>
      </w:r>
      <w:r w:rsidR="00526B5A" w:rsidRPr="00526B5A">
        <w:rPr>
          <w:rFonts w:ascii="Arial" w:hAnsi="Arial" w:cs="Arial"/>
          <w:i/>
          <w:sz w:val="20"/>
          <w:szCs w:val="20"/>
        </w:rPr>
        <w:t>, January 20, 2025)</w:t>
      </w:r>
    </w:p>
    <w:p w14:paraId="5D5DB5A1" w14:textId="77777777" w:rsidR="00341FBE" w:rsidRPr="00C95501" w:rsidRDefault="00341FBE" w:rsidP="006672EA">
      <w:pPr>
        <w:pStyle w:val="Heading3"/>
        <w:jc w:val="both"/>
        <w:rPr>
          <w:rFonts w:cs="Arial"/>
          <w:sz w:val="24"/>
          <w:szCs w:val="24"/>
        </w:rPr>
      </w:pPr>
      <w:bookmarkStart w:id="57" w:name="_Toc442267692"/>
      <w:bookmarkStart w:id="58" w:name="_Toc188510295"/>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7"/>
      <w:bookmarkEnd w:id="58"/>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3557AB1F"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4"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 xml:space="preserve">Determine whether pass-through entities implemented procedures to ensure that payments to subrecipients minimized the time elapsing between transfer of Federal funds from the pass-through </w:t>
      </w:r>
      <w:r w:rsidR="001B48C6" w:rsidRPr="00F00D94">
        <w:rPr>
          <w:rFonts w:ascii="Arial" w:hAnsi="Arial" w:cs="Arial"/>
        </w:rPr>
        <w:lastRenderedPageBreak/>
        <w:t>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9" w:name="_Toc442267693"/>
      <w:bookmarkStart w:id="60" w:name="_Toc188510296"/>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9"/>
      <w:r w:rsidR="00CC4452">
        <w:rPr>
          <w:rFonts w:cs="Arial"/>
          <w:sz w:val="24"/>
          <w:szCs w:val="24"/>
        </w:rPr>
        <w:t xml:space="preserve"> – Compliance</w:t>
      </w:r>
      <w:bookmarkEnd w:id="60"/>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w:t>
            </w:r>
            <w:proofErr w:type="gramStart"/>
            <w:r w:rsidR="00D96E56" w:rsidRPr="00F00D94">
              <w:rPr>
                <w:rFonts w:ascii="Arial" w:hAnsi="Arial" w:cs="Arial"/>
                <w:sz w:val="20"/>
              </w:rPr>
              <w:t>in excess of</w:t>
            </w:r>
            <w:proofErr w:type="gramEnd"/>
            <w:r w:rsidR="00D96E56" w:rsidRPr="00F00D94">
              <w:rPr>
                <w:rFonts w:ascii="Arial" w:hAnsi="Arial" w:cs="Arial"/>
                <w:sz w:val="20"/>
              </w:rPr>
              <w:t xml:space="preserve">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6BDA059F"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 xml:space="preserve">Perform tests to ascertain if the non-Federal entity requesting reimbursement (a) disbursed funds prior to the date of the request, or (b) meets the conditions allowing for the request for </w:t>
            </w:r>
            <w:r w:rsidRPr="006516C2">
              <w:rPr>
                <w:rFonts w:ascii="Arial" w:hAnsi="Arial" w:cs="Arial"/>
                <w:sz w:val="20"/>
                <w:szCs w:val="20"/>
              </w:rPr>
              <w:lastRenderedPageBreak/>
              <w:t>costs incurred, but not necessarily paid for, i.e., ordinarily within 30 days of the request (</w:t>
            </w:r>
            <w:hyperlink r:id="rId55"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1" w:name="_Toc438816465"/>
      <w:bookmarkStart w:id="62" w:name="_Toc442267694"/>
    </w:p>
    <w:p w14:paraId="5F477BA8" w14:textId="40F9D9C2" w:rsidR="00FF7307" w:rsidRPr="00220BD0" w:rsidRDefault="002A3BB7" w:rsidP="006672EA">
      <w:pPr>
        <w:pStyle w:val="Heading3"/>
        <w:jc w:val="both"/>
        <w:rPr>
          <w:rFonts w:cs="Arial"/>
          <w:b w:val="0"/>
          <w:sz w:val="24"/>
          <w:szCs w:val="24"/>
        </w:rPr>
      </w:pPr>
      <w:bookmarkStart w:id="63" w:name="_Toc188510297"/>
      <w:r w:rsidRPr="00220BD0">
        <w:rPr>
          <w:rFonts w:cs="Arial"/>
          <w:sz w:val="24"/>
          <w:szCs w:val="24"/>
        </w:rPr>
        <w:t>Audit Implications Summary</w:t>
      </w:r>
      <w:bookmarkEnd w:id="61"/>
      <w:bookmarkEnd w:id="62"/>
      <w:bookmarkEnd w:id="63"/>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FBF383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7"/>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64" w:name="_Toc188510298"/>
      <w:r w:rsidRPr="00220BD0">
        <w:rPr>
          <w:rFonts w:cs="Arial"/>
          <w:sz w:val="24"/>
        </w:rPr>
        <w:lastRenderedPageBreak/>
        <w:t xml:space="preserve">G.  </w:t>
      </w:r>
      <w:bookmarkStart w:id="65" w:name="_Toc442267697"/>
      <w:r w:rsidRPr="00220BD0">
        <w:rPr>
          <w:rFonts w:cs="Arial"/>
          <w:sz w:val="24"/>
        </w:rPr>
        <w:t>MATCHING, LEVEL OF EFFORT, EARMARKING</w:t>
      </w:r>
      <w:bookmarkEnd w:id="65"/>
      <w:bookmarkEnd w:id="64"/>
    </w:p>
    <w:p w14:paraId="59C904A6" w14:textId="707FA18F" w:rsidR="00223898" w:rsidRPr="00220BD0" w:rsidRDefault="004655E0" w:rsidP="006672EA">
      <w:pPr>
        <w:pStyle w:val="Heading3"/>
        <w:jc w:val="both"/>
        <w:rPr>
          <w:rFonts w:cs="Arial"/>
          <w:sz w:val="24"/>
          <w:szCs w:val="24"/>
        </w:rPr>
      </w:pPr>
      <w:bookmarkStart w:id="66" w:name="_Toc188510299"/>
      <w:r w:rsidRPr="00220BD0">
        <w:rPr>
          <w:rFonts w:cs="Arial"/>
          <w:sz w:val="24"/>
          <w:szCs w:val="24"/>
        </w:rPr>
        <w:t xml:space="preserve">OMB </w:t>
      </w:r>
      <w:r w:rsidR="00223898" w:rsidRPr="00220BD0">
        <w:rPr>
          <w:rFonts w:cs="Arial"/>
          <w:sz w:val="24"/>
          <w:szCs w:val="24"/>
        </w:rPr>
        <w:t>Compliance Requirements</w:t>
      </w:r>
      <w:bookmarkEnd w:id="66"/>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4EBA129B" w14:textId="018B255D" w:rsidR="003B7DB1" w:rsidRPr="003B7DB1" w:rsidRDefault="003B7DB1" w:rsidP="003B7DB1">
      <w:pPr>
        <w:spacing w:after="240"/>
        <w:jc w:val="both"/>
        <w:rPr>
          <w:rFonts w:ascii="Arial" w:hAnsi="Arial" w:cs="Arial"/>
          <w:bCs/>
          <w:iCs/>
        </w:rPr>
      </w:pPr>
      <w:r w:rsidRPr="003B7DB1">
        <w:rPr>
          <w:rFonts w:ascii="Arial" w:hAnsi="Arial" w:cs="Arial"/>
          <w:b/>
          <w:iCs/>
        </w:rPr>
        <w:t>1.</w:t>
      </w:r>
      <w:r w:rsidRPr="003B7DB1">
        <w:rPr>
          <w:rFonts w:ascii="Arial" w:hAnsi="Arial" w:cs="Arial"/>
          <w:b/>
          <w:iCs/>
        </w:rPr>
        <w:tab/>
        <w:t>Matching</w:t>
      </w:r>
      <w:r>
        <w:rPr>
          <w:rFonts w:ascii="Arial" w:hAnsi="Arial" w:cs="Arial"/>
          <w:b/>
          <w:iCs/>
        </w:rPr>
        <w:t xml:space="preserve"> - </w:t>
      </w:r>
      <w:r w:rsidRPr="003B7DB1">
        <w:rPr>
          <w:rFonts w:ascii="Arial" w:hAnsi="Arial" w:cs="Arial"/>
          <w:bCs/>
          <w:iCs/>
        </w:rPr>
        <w:t>Not Applicable</w:t>
      </w:r>
    </w:p>
    <w:p w14:paraId="73257FD5" w14:textId="057457D5" w:rsidR="003B7DB1" w:rsidRPr="003B7DB1" w:rsidRDefault="003B7DB1" w:rsidP="003B7DB1">
      <w:pPr>
        <w:spacing w:after="240"/>
        <w:jc w:val="both"/>
        <w:rPr>
          <w:rFonts w:ascii="Arial" w:hAnsi="Arial" w:cs="Arial"/>
          <w:b/>
          <w:iCs/>
        </w:rPr>
      </w:pPr>
      <w:r w:rsidRPr="003B7DB1">
        <w:rPr>
          <w:rFonts w:ascii="Arial" w:hAnsi="Arial" w:cs="Arial"/>
          <w:b/>
          <w:iCs/>
        </w:rPr>
        <w:t>2.</w:t>
      </w:r>
      <w:r w:rsidRPr="003B7DB1">
        <w:rPr>
          <w:rFonts w:ascii="Arial" w:hAnsi="Arial" w:cs="Arial"/>
          <w:b/>
          <w:iCs/>
        </w:rPr>
        <w:tab/>
        <w:t>Level of Effort</w:t>
      </w:r>
    </w:p>
    <w:p w14:paraId="0C14E37E" w14:textId="29843497" w:rsidR="003B7DB1" w:rsidRPr="003B7DB1" w:rsidRDefault="003B7DB1" w:rsidP="003B7DB1">
      <w:pPr>
        <w:spacing w:after="240"/>
        <w:ind w:firstLine="720"/>
        <w:jc w:val="both"/>
        <w:rPr>
          <w:rFonts w:ascii="Arial" w:hAnsi="Arial" w:cs="Arial"/>
          <w:bCs/>
          <w:iCs/>
        </w:rPr>
      </w:pPr>
      <w:r w:rsidRPr="003B7DB1">
        <w:rPr>
          <w:rFonts w:ascii="Arial" w:hAnsi="Arial" w:cs="Arial"/>
          <w:b/>
          <w:iCs/>
        </w:rPr>
        <w:t>2.1</w:t>
      </w:r>
      <w:r w:rsidRPr="003B7DB1">
        <w:rPr>
          <w:rFonts w:ascii="Arial" w:hAnsi="Arial" w:cs="Arial"/>
          <w:b/>
          <w:iCs/>
        </w:rPr>
        <w:tab/>
        <w:t>Level of Effort</w:t>
      </w:r>
      <w:r w:rsidRPr="003B7DB1">
        <w:rPr>
          <w:rFonts w:ascii="Arial" w:hAnsi="Arial" w:cs="Arial"/>
          <w:bCs/>
          <w:iCs/>
        </w:rPr>
        <w:t xml:space="preserve"> – </w:t>
      </w:r>
      <w:r w:rsidRPr="003B7DB1">
        <w:rPr>
          <w:rFonts w:ascii="Arial" w:hAnsi="Arial" w:cs="Arial"/>
          <w:bCs/>
          <w:i/>
        </w:rPr>
        <w:t>Maintenance of Effort</w:t>
      </w:r>
    </w:p>
    <w:p w14:paraId="6A06EC4B" w14:textId="376E2E48" w:rsidR="003B7DB1" w:rsidRPr="003B7DB1" w:rsidRDefault="003B7DB1" w:rsidP="003B7DB1">
      <w:pPr>
        <w:spacing w:after="240"/>
        <w:ind w:left="2160" w:hanging="720"/>
        <w:jc w:val="both"/>
        <w:rPr>
          <w:rFonts w:ascii="Arial" w:hAnsi="Arial" w:cs="Arial"/>
          <w:bCs/>
          <w:iCs/>
        </w:rPr>
      </w:pPr>
      <w:r w:rsidRPr="003B7DB1">
        <w:rPr>
          <w:rFonts w:ascii="Arial" w:hAnsi="Arial" w:cs="Arial"/>
          <w:bCs/>
          <w:iCs/>
        </w:rPr>
        <w:t>a.</w:t>
      </w:r>
      <w:r w:rsidRPr="003B7DB1">
        <w:rPr>
          <w:rFonts w:ascii="Arial" w:hAnsi="Arial" w:cs="Arial"/>
          <w:bCs/>
          <w:iCs/>
        </w:rPr>
        <w:tab/>
        <w:t>The state shall for each fiscal year maintain aggregate state expenditures for authorized activities by the principal agency at a level that is not less than the average level of such expenditures maintained by the state for the two-state fiscal years preceding the fiscal year for which the state is applying for the grant. The “principal agency” is defined as the single state agency responsible for planning, carrying out, and evaluating activities to prevent and treat SUD and related activities. The secretary may exclude from the aggregate state expenditures funds appropriated to the principal agency for authorized activities which are non-recurring and for a specific purpose (42 USC 300x-30; 45 CFR sections 96.121 and 96.134; and Federal Register, July 6, 2001 (66 FR 35658), and November 23, 2001 (66 FR 58746-58747), as specified in II, “Program Procedures – Availability of Other Program Information”).</w:t>
      </w:r>
    </w:p>
    <w:p w14:paraId="76899D4A" w14:textId="4850A0D4" w:rsidR="003B7DB1" w:rsidRPr="003B7DB1" w:rsidRDefault="003B7DB1" w:rsidP="003B7DB1">
      <w:pPr>
        <w:spacing w:after="240"/>
        <w:ind w:left="2160" w:hanging="720"/>
        <w:jc w:val="both"/>
        <w:rPr>
          <w:rFonts w:ascii="Arial" w:hAnsi="Arial" w:cs="Arial"/>
          <w:bCs/>
          <w:iCs/>
        </w:rPr>
      </w:pPr>
      <w:r w:rsidRPr="003B7DB1">
        <w:rPr>
          <w:rFonts w:ascii="Arial" w:hAnsi="Arial" w:cs="Arial"/>
          <w:bCs/>
          <w:iCs/>
        </w:rPr>
        <w:t>b.</w:t>
      </w:r>
      <w:r w:rsidRPr="003B7DB1">
        <w:rPr>
          <w:rFonts w:ascii="Arial" w:hAnsi="Arial" w:cs="Arial"/>
          <w:bCs/>
          <w:iCs/>
        </w:rPr>
        <w:tab/>
        <w:t>The state must maintain expenditures at not less than the calculated fiscal year 1994 base amount for SUD treatment services for pregnant women and women with dependent children. The fiscal year 1994 base amount was reported in the state’s fiscal year 1995 application (42 USC 300x-27; 45 CFR section 96.124(c)).</w:t>
      </w:r>
    </w:p>
    <w:p w14:paraId="536966BD" w14:textId="6A95B1E5" w:rsidR="003B7DB1" w:rsidRPr="003B7DB1" w:rsidRDefault="003B7DB1" w:rsidP="003B7DB1">
      <w:pPr>
        <w:spacing w:after="240"/>
        <w:ind w:left="2160" w:hanging="720"/>
        <w:jc w:val="both"/>
        <w:rPr>
          <w:rFonts w:ascii="Arial" w:hAnsi="Arial" w:cs="Arial"/>
          <w:bCs/>
          <w:iCs/>
        </w:rPr>
      </w:pPr>
      <w:r w:rsidRPr="003B7DB1">
        <w:rPr>
          <w:rFonts w:ascii="Arial" w:hAnsi="Arial" w:cs="Arial"/>
          <w:bCs/>
          <w:iCs/>
        </w:rPr>
        <w:t>c.</w:t>
      </w:r>
      <w:r w:rsidRPr="003B7DB1">
        <w:rPr>
          <w:rFonts w:ascii="Arial" w:hAnsi="Arial" w:cs="Arial"/>
          <w:bCs/>
          <w:iCs/>
        </w:rPr>
        <w:tab/>
        <w:t>Section 8002(c)(3) of the 21st Century Cures Act (Pub. L. No. 114-255 repealed section 1924(d) of Title XIX, Part B, Subpart II of the Public Health Service Act (42 USC 300x-24(d)). States and jurisdictions are no longer required to demonstrate compliance with the maintenance of effort requirement regarding tuberculosis and human immunodeficiency virus.</w:t>
      </w:r>
    </w:p>
    <w:p w14:paraId="7C5041D1" w14:textId="7C015B81" w:rsidR="003B7DB1" w:rsidRPr="003B7DB1" w:rsidRDefault="003B7DB1" w:rsidP="003B7DB1">
      <w:pPr>
        <w:spacing w:after="240"/>
        <w:ind w:left="720"/>
        <w:jc w:val="both"/>
        <w:rPr>
          <w:rFonts w:ascii="Arial" w:hAnsi="Arial" w:cs="Arial"/>
          <w:bCs/>
          <w:iCs/>
        </w:rPr>
      </w:pPr>
      <w:r w:rsidRPr="003B7DB1">
        <w:rPr>
          <w:rFonts w:ascii="Arial" w:hAnsi="Arial" w:cs="Arial"/>
          <w:b/>
          <w:iCs/>
        </w:rPr>
        <w:t>2.2</w:t>
      </w:r>
      <w:r w:rsidRPr="003B7DB1">
        <w:rPr>
          <w:rFonts w:ascii="Arial" w:hAnsi="Arial" w:cs="Arial"/>
          <w:b/>
          <w:iCs/>
        </w:rPr>
        <w:tab/>
        <w:t>Level of Effort</w:t>
      </w:r>
      <w:r w:rsidRPr="003B7DB1">
        <w:rPr>
          <w:rFonts w:ascii="Arial" w:hAnsi="Arial" w:cs="Arial"/>
          <w:bCs/>
          <w:iCs/>
        </w:rPr>
        <w:t xml:space="preserve"> – </w:t>
      </w:r>
      <w:r w:rsidRPr="003B7DB1">
        <w:rPr>
          <w:rFonts w:ascii="Arial" w:hAnsi="Arial" w:cs="Arial"/>
          <w:bCs/>
          <w:i/>
        </w:rPr>
        <w:t>Supplement Not Supplant</w:t>
      </w:r>
    </w:p>
    <w:p w14:paraId="68437790" w14:textId="7B62DFFD" w:rsidR="003B7DB1" w:rsidRPr="003B7DB1" w:rsidRDefault="003B7DB1" w:rsidP="003B7DB1">
      <w:pPr>
        <w:spacing w:after="240"/>
        <w:ind w:left="2160" w:hanging="720"/>
        <w:jc w:val="both"/>
        <w:rPr>
          <w:rFonts w:ascii="Arial" w:hAnsi="Arial" w:cs="Arial"/>
          <w:bCs/>
          <w:iCs/>
        </w:rPr>
      </w:pPr>
      <w:r w:rsidRPr="003B7DB1">
        <w:rPr>
          <w:rFonts w:ascii="Arial" w:hAnsi="Arial" w:cs="Arial"/>
          <w:bCs/>
          <w:iCs/>
        </w:rPr>
        <w:t>a.</w:t>
      </w:r>
      <w:r w:rsidRPr="003B7DB1">
        <w:rPr>
          <w:rFonts w:ascii="Arial" w:hAnsi="Arial" w:cs="Arial"/>
          <w:bCs/>
          <w:iCs/>
        </w:rPr>
        <w:tab/>
        <w:t>The Block Grant will not be used to supplant state funding of alcohol and other drug prevention and treatment programs (45 CFR section 96.123(a)(10)).</w:t>
      </w:r>
    </w:p>
    <w:p w14:paraId="0BFD7DD4" w14:textId="66CA862B" w:rsidR="003B7DB1" w:rsidRPr="003B7DB1" w:rsidRDefault="003B7DB1" w:rsidP="003B7DB1">
      <w:pPr>
        <w:spacing w:after="240"/>
        <w:jc w:val="both"/>
        <w:rPr>
          <w:rFonts w:ascii="Arial" w:hAnsi="Arial" w:cs="Arial"/>
          <w:b/>
          <w:iCs/>
        </w:rPr>
      </w:pPr>
      <w:r w:rsidRPr="003B7DB1">
        <w:rPr>
          <w:rFonts w:ascii="Arial" w:hAnsi="Arial" w:cs="Arial"/>
          <w:b/>
          <w:iCs/>
        </w:rPr>
        <w:t>3.</w:t>
      </w:r>
      <w:r w:rsidRPr="003B7DB1">
        <w:rPr>
          <w:rFonts w:ascii="Arial" w:hAnsi="Arial" w:cs="Arial"/>
          <w:b/>
          <w:iCs/>
        </w:rPr>
        <w:tab/>
        <w:t>Earmarking</w:t>
      </w:r>
    </w:p>
    <w:p w14:paraId="67FF9E14" w14:textId="18E6739C" w:rsidR="003B7DB1" w:rsidRPr="003B7DB1" w:rsidRDefault="003B7DB1" w:rsidP="00B32774">
      <w:pPr>
        <w:spacing w:after="240"/>
        <w:ind w:left="1440" w:hanging="720"/>
        <w:jc w:val="both"/>
        <w:rPr>
          <w:rFonts w:ascii="Arial" w:hAnsi="Arial" w:cs="Arial"/>
          <w:bCs/>
          <w:iCs/>
        </w:rPr>
      </w:pPr>
      <w:r w:rsidRPr="003B7DB1">
        <w:rPr>
          <w:rFonts w:ascii="Arial" w:hAnsi="Arial" w:cs="Arial"/>
          <w:bCs/>
          <w:iCs/>
        </w:rPr>
        <w:t>a.</w:t>
      </w:r>
      <w:r w:rsidRPr="003B7DB1">
        <w:rPr>
          <w:rFonts w:ascii="Arial" w:hAnsi="Arial" w:cs="Arial"/>
          <w:bCs/>
          <w:iCs/>
        </w:rPr>
        <w:tab/>
        <w:t>The state shall expend not less than 20 percent of SUPTRS BG for primary prevention programs for individuals who do not require treatment for SUD. The programs should educate and counsel the individuals on such SUD and provide for activities to reduce the risk of such SUD by the individuals (42 USC 300x-22; 45 CFR sections 96.124 (b)(1) and 96.125).</w:t>
      </w:r>
    </w:p>
    <w:p w14:paraId="3E5A79D3" w14:textId="24482007" w:rsidR="003B7DB1" w:rsidRPr="003B7DB1" w:rsidRDefault="003B7DB1" w:rsidP="00B32774">
      <w:pPr>
        <w:spacing w:after="240"/>
        <w:ind w:left="1440" w:hanging="720"/>
        <w:jc w:val="both"/>
        <w:rPr>
          <w:rFonts w:ascii="Arial" w:hAnsi="Arial" w:cs="Arial"/>
          <w:bCs/>
          <w:iCs/>
        </w:rPr>
      </w:pPr>
      <w:r w:rsidRPr="003B7DB1">
        <w:rPr>
          <w:rFonts w:ascii="Arial" w:hAnsi="Arial" w:cs="Arial"/>
          <w:bCs/>
          <w:iCs/>
        </w:rPr>
        <w:t>b.</w:t>
      </w:r>
      <w:r w:rsidRPr="003B7DB1">
        <w:rPr>
          <w:rFonts w:ascii="Arial" w:hAnsi="Arial" w:cs="Arial"/>
          <w:bCs/>
          <w:iCs/>
        </w:rPr>
        <w:tab/>
        <w:t>Designated states (i.e., any state whose cases of Acquired Immunodeficiency Syndrome (AIDS) is 10 or more per 100,000 individuals (as indicated by the number of such cases reported to and confirmed by the Centers for Disease Control and Prevention for the most</w:t>
      </w:r>
      <w:r>
        <w:rPr>
          <w:rFonts w:ascii="Arial" w:hAnsi="Arial" w:cs="Arial"/>
          <w:bCs/>
          <w:iCs/>
        </w:rPr>
        <w:t xml:space="preserve"> </w:t>
      </w:r>
      <w:r w:rsidRPr="003B7DB1">
        <w:rPr>
          <w:rFonts w:ascii="Arial" w:hAnsi="Arial" w:cs="Arial"/>
          <w:bCs/>
          <w:iCs/>
        </w:rPr>
        <w:t xml:space="preserve">recent calendar year for which data are available)), shall expend not less than 2 percent and not more than 5 percent of the award amount to carry out one or more projects to make available to individuals early intervention services for HIV disease (EIS HIV) at the sites where the individuals are undergoing SUD treatment. If the state carries out two or more projects, the state will carry out one such project in a rural area of the state unless the secretary waives the requirement (42 USC 300x-24; 45 CFR sections 96.128(a)(1), (b), </w:t>
      </w:r>
      <w:r w:rsidRPr="003B7DB1">
        <w:rPr>
          <w:rFonts w:ascii="Arial" w:hAnsi="Arial" w:cs="Arial"/>
          <w:bCs/>
          <w:iCs/>
        </w:rPr>
        <w:lastRenderedPageBreak/>
        <w:t>and (d)). Note: The applicable percentage is based on the percent change in a current year allotment to the base year allotment under the Alcohol, Drug Abuse, and Mental Health Services (ADMS) Block Grant. Any “designated state” whose percentage change in the allotment is greater than 5 percent is required to obligate and expend 5 percent of the SUPTRS BG allotment for the applicable federal fiscal year (FFY) to establish one or more projects designed to provide EIS HIV at the site(s) at which individuals are receiving SUD treatment.</w:t>
      </w:r>
    </w:p>
    <w:p w14:paraId="0E32942C" w14:textId="5F4E89F7" w:rsidR="003B7DB1" w:rsidRPr="003B7DB1" w:rsidRDefault="003B7DB1" w:rsidP="00B32774">
      <w:pPr>
        <w:spacing w:after="240"/>
        <w:ind w:left="1440"/>
        <w:jc w:val="both"/>
        <w:rPr>
          <w:rFonts w:ascii="Arial" w:hAnsi="Arial" w:cs="Arial"/>
          <w:bCs/>
          <w:iCs/>
        </w:rPr>
      </w:pPr>
      <w:r w:rsidRPr="003B7DB1">
        <w:rPr>
          <w:rFonts w:ascii="Arial" w:hAnsi="Arial" w:cs="Arial"/>
          <w:bCs/>
          <w:iCs/>
        </w:rPr>
        <w:t>In FFY 2011, SAMHSA amended the EIS HIV program policy to allow states that were previously considered a “designated state” during any of the three prior FFYs for which a state was applying for a grant and whose AIDS case rates dropped below the AIDS case rate threshold, to opt to continue to set aside 5 percent of the award amount for EIS HIV. Such states are authorized to obligate and expend 5 percent of SUPTRS BG funds for EIS HIV per section 1924(b)(4) and 45 CFR section 96.128(a)(2).</w:t>
      </w:r>
    </w:p>
    <w:p w14:paraId="39B836F5" w14:textId="5E7467E1" w:rsidR="003B7DB1" w:rsidRPr="003B7DB1" w:rsidRDefault="003B7DB1" w:rsidP="00B32774">
      <w:pPr>
        <w:spacing w:after="240"/>
        <w:ind w:left="1440" w:hanging="720"/>
        <w:jc w:val="both"/>
        <w:rPr>
          <w:rFonts w:ascii="Arial" w:hAnsi="Arial" w:cs="Arial"/>
          <w:bCs/>
          <w:iCs/>
        </w:rPr>
      </w:pPr>
      <w:r w:rsidRPr="003B7DB1">
        <w:rPr>
          <w:rFonts w:ascii="Arial" w:hAnsi="Arial" w:cs="Arial"/>
          <w:bCs/>
          <w:iCs/>
        </w:rPr>
        <w:t>c.</w:t>
      </w:r>
      <w:r w:rsidRPr="003B7DB1">
        <w:rPr>
          <w:rFonts w:ascii="Arial" w:hAnsi="Arial" w:cs="Arial"/>
          <w:bCs/>
          <w:iCs/>
        </w:rPr>
        <w:tab/>
        <w:t>The state may not expend more than 5 percent of the grant to pay the costs of administering the grant (42 USC 300x-31; 45 CFR section 96.135 (b)(1)).</w:t>
      </w:r>
    </w:p>
    <w:p w14:paraId="50AEFFAF" w14:textId="6B21385B" w:rsidR="003B7DB1" w:rsidRPr="003B7DB1" w:rsidRDefault="003B7DB1" w:rsidP="00B32774">
      <w:pPr>
        <w:spacing w:after="240"/>
        <w:ind w:left="1440" w:hanging="720"/>
        <w:jc w:val="both"/>
        <w:rPr>
          <w:rFonts w:ascii="Arial" w:hAnsi="Arial" w:cs="Arial"/>
          <w:bCs/>
          <w:iCs/>
        </w:rPr>
      </w:pPr>
      <w:r w:rsidRPr="003B7DB1">
        <w:rPr>
          <w:rFonts w:ascii="Arial" w:hAnsi="Arial" w:cs="Arial"/>
          <w:bCs/>
          <w:iCs/>
        </w:rPr>
        <w:t>d.</w:t>
      </w:r>
      <w:r w:rsidRPr="003B7DB1">
        <w:rPr>
          <w:rFonts w:ascii="Arial" w:hAnsi="Arial" w:cs="Arial"/>
          <w:bCs/>
          <w:iCs/>
        </w:rPr>
        <w:tab/>
        <w:t>The state may not expend grant funds for providing treatment services in penal or correctional institutions in an amount more than that expended for such programs by the state for fiscal year 1991 (42 USC 300x-31; 45 CFR section 96.135(b)(2)).</w:t>
      </w:r>
    </w:p>
    <w:p w14:paraId="7CB87730" w14:textId="708D6248" w:rsidR="003B7DB1" w:rsidRPr="004A0AB6" w:rsidRDefault="003B7DB1" w:rsidP="00D74E6A">
      <w:pPr>
        <w:spacing w:after="240"/>
        <w:jc w:val="both"/>
        <w:rPr>
          <w:rFonts w:ascii="Arial" w:hAnsi="Arial" w:cs="Arial"/>
          <w:b/>
          <w:highlight w:val="yellow"/>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30831737" w14:textId="77777777" w:rsidR="00FC7102" w:rsidRPr="00220BD0" w:rsidRDefault="00FC7102" w:rsidP="006672EA">
      <w:pPr>
        <w:pStyle w:val="Heading3"/>
        <w:jc w:val="both"/>
        <w:rPr>
          <w:rFonts w:cs="Arial"/>
          <w:sz w:val="24"/>
          <w:szCs w:val="24"/>
        </w:rPr>
      </w:pPr>
      <w:bookmarkStart w:id="67" w:name="_Toc188510300"/>
      <w:r w:rsidRPr="00220BD0">
        <w:rPr>
          <w:rFonts w:cs="Arial"/>
          <w:sz w:val="24"/>
          <w:szCs w:val="24"/>
        </w:rPr>
        <w:t>Additional Program Specific Information</w:t>
      </w:r>
      <w:bookmarkEnd w:id="67"/>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01E0D531"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72C41">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8" w:name="_Toc188510301"/>
      <w:r w:rsidRPr="00220BD0">
        <w:rPr>
          <w:rFonts w:cs="Arial"/>
          <w:sz w:val="24"/>
          <w:szCs w:val="24"/>
        </w:rPr>
        <w:t xml:space="preserve">Audit Objectives </w:t>
      </w:r>
      <w:r w:rsidR="0038712E" w:rsidRPr="00220BD0">
        <w:rPr>
          <w:rFonts w:cs="Arial"/>
          <w:sz w:val="24"/>
          <w:szCs w:val="24"/>
        </w:rPr>
        <w:t>and Control Testing</w:t>
      </w:r>
      <w:bookmarkEnd w:id="68"/>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C3E95B" w14:textId="5D1AC763" w:rsidR="008F7129" w:rsidRPr="00F00D94" w:rsidRDefault="00B32774" w:rsidP="008F7129">
      <w:pPr>
        <w:spacing w:after="240" w:line="242" w:lineRule="auto"/>
        <w:ind w:left="360" w:hanging="360"/>
        <w:jc w:val="both"/>
        <w:rPr>
          <w:rFonts w:ascii="Arial" w:eastAsia="Arial" w:hAnsi="Arial" w:cs="Arial"/>
        </w:rPr>
      </w:pPr>
      <w:r>
        <w:rPr>
          <w:rFonts w:ascii="Arial" w:eastAsia="Arial" w:hAnsi="Arial" w:cs="Arial"/>
          <w:spacing w:val="1"/>
        </w:rPr>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Le</w:t>
      </w:r>
      <w:r w:rsidR="008F7129" w:rsidRPr="00F00D94">
        <w:rPr>
          <w:rFonts w:ascii="Arial" w:eastAsia="Arial" w:hAnsi="Arial" w:cs="Arial"/>
          <w:i/>
        </w:rPr>
        <w:t>v</w:t>
      </w:r>
      <w:r w:rsidR="008F7129" w:rsidRPr="00F00D94">
        <w:rPr>
          <w:rFonts w:ascii="Arial" w:eastAsia="Arial" w:hAnsi="Arial" w:cs="Arial"/>
          <w:i/>
          <w:spacing w:val="1"/>
        </w:rPr>
        <w:t>e</w:t>
      </w:r>
      <w:r w:rsidR="008F7129" w:rsidRPr="00F00D94">
        <w:rPr>
          <w:rFonts w:ascii="Arial" w:eastAsia="Arial" w:hAnsi="Arial" w:cs="Arial"/>
          <w:i/>
        </w:rPr>
        <w:t>l</w:t>
      </w:r>
      <w:r w:rsidR="008F7129" w:rsidRPr="00F00D94">
        <w:rPr>
          <w:rFonts w:ascii="Arial" w:eastAsia="Arial" w:hAnsi="Arial" w:cs="Arial"/>
          <w:i/>
          <w:spacing w:val="-2"/>
        </w:rPr>
        <w:t xml:space="preserve"> </w:t>
      </w:r>
      <w:r w:rsidR="008F7129" w:rsidRPr="00F00D94">
        <w:rPr>
          <w:rFonts w:ascii="Arial" w:eastAsia="Arial" w:hAnsi="Arial" w:cs="Arial"/>
          <w:i/>
          <w:spacing w:val="1"/>
        </w:rPr>
        <w:t>o</w:t>
      </w:r>
      <w:r w:rsidR="008F7129" w:rsidRPr="00F00D94">
        <w:rPr>
          <w:rFonts w:ascii="Arial" w:eastAsia="Arial" w:hAnsi="Arial" w:cs="Arial"/>
          <w:i/>
        </w:rPr>
        <w:t>f</w:t>
      </w:r>
      <w:r w:rsidR="008F7129" w:rsidRPr="00F00D94">
        <w:rPr>
          <w:rFonts w:ascii="Arial" w:eastAsia="Arial" w:hAnsi="Arial" w:cs="Arial"/>
          <w:i/>
          <w:spacing w:val="1"/>
        </w:rPr>
        <w:t xml:space="preserve"> E</w:t>
      </w:r>
      <w:r w:rsidR="008F7129" w:rsidRPr="00F00D94">
        <w:rPr>
          <w:rFonts w:ascii="Arial" w:eastAsia="Arial" w:hAnsi="Arial" w:cs="Arial"/>
          <w:i/>
          <w:spacing w:val="-2"/>
        </w:rPr>
        <w:t>f</w:t>
      </w:r>
      <w:r w:rsidR="008F7129" w:rsidRPr="00F00D94">
        <w:rPr>
          <w:rFonts w:ascii="Arial" w:eastAsia="Arial" w:hAnsi="Arial" w:cs="Arial"/>
          <w:i/>
        </w:rPr>
        <w:t>f</w:t>
      </w:r>
      <w:r w:rsidR="008F7129" w:rsidRPr="00F00D94">
        <w:rPr>
          <w:rFonts w:ascii="Arial" w:eastAsia="Arial" w:hAnsi="Arial" w:cs="Arial"/>
          <w:i/>
          <w:spacing w:val="1"/>
        </w:rPr>
        <w:t>o</w:t>
      </w:r>
      <w:r w:rsidR="008F7129" w:rsidRPr="00F00D94">
        <w:rPr>
          <w:rFonts w:ascii="Arial" w:eastAsia="Arial" w:hAnsi="Arial" w:cs="Arial"/>
          <w:i/>
          <w:spacing w:val="-1"/>
        </w:rPr>
        <w:t>r</w:t>
      </w:r>
      <w:r w:rsidR="008F7129" w:rsidRPr="00F00D94">
        <w:rPr>
          <w:rFonts w:ascii="Arial" w:eastAsia="Arial" w:hAnsi="Arial" w:cs="Arial"/>
          <w:i/>
        </w:rPr>
        <w:t>t</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spacing w:val="-2"/>
        </w:rPr>
        <w:t>t</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spacing w:val="-2"/>
        </w:rPr>
        <w:t>t</w:t>
      </w:r>
      <w:r w:rsidR="008F7129" w:rsidRPr="00F00D94">
        <w:rPr>
          <w:rFonts w:ascii="Arial" w:eastAsia="Arial" w:hAnsi="Arial" w:cs="Arial"/>
          <w:spacing w:val="1"/>
        </w:rPr>
        <w:t>he</w:t>
      </w:r>
      <w:r w:rsidR="008F7129" w:rsidRPr="00F00D94">
        <w:rPr>
          <w:rFonts w:ascii="Arial" w:eastAsia="Arial" w:hAnsi="Arial" w:cs="Arial"/>
        </w:rPr>
        <w:t>r s</w:t>
      </w:r>
      <w:r w:rsidR="008F7129" w:rsidRPr="00F00D94">
        <w:rPr>
          <w:rFonts w:ascii="Arial" w:eastAsia="Arial" w:hAnsi="Arial" w:cs="Arial"/>
          <w:spacing w:val="-1"/>
        </w:rPr>
        <w:t>p</w:t>
      </w:r>
      <w:r w:rsidR="008F7129" w:rsidRPr="00F00D94">
        <w:rPr>
          <w:rFonts w:ascii="Arial" w:eastAsia="Arial" w:hAnsi="Arial" w:cs="Arial"/>
          <w:spacing w:val="1"/>
        </w:rPr>
        <w:t>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rPr>
        <w:t>s</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v</w:t>
      </w:r>
      <w:r w:rsidR="008F7129" w:rsidRPr="00F00D94">
        <w:rPr>
          <w:rFonts w:ascii="Arial" w:eastAsia="Arial" w:hAnsi="Arial" w:cs="Arial"/>
        </w:rPr>
        <w:t>ice</w:t>
      </w:r>
      <w:r w:rsidR="008F7129" w:rsidRPr="00F00D94">
        <w:rPr>
          <w:rFonts w:ascii="Arial" w:eastAsia="Arial" w:hAnsi="Arial" w:cs="Arial"/>
          <w:spacing w:val="1"/>
        </w:rPr>
        <w:t xml:space="preserve"> o</w:t>
      </w:r>
      <w:r w:rsidR="008F7129" w:rsidRPr="00F00D94">
        <w:rPr>
          <w:rFonts w:ascii="Arial" w:eastAsia="Arial" w:hAnsi="Arial" w:cs="Arial"/>
        </w:rPr>
        <w:t xml:space="preserve">r </w:t>
      </w:r>
      <w:r w:rsidR="008F7129" w:rsidRPr="00F00D94">
        <w:rPr>
          <w:rFonts w:ascii="Arial" w:eastAsia="Arial" w:hAnsi="Arial" w:cs="Arial"/>
          <w:spacing w:val="1"/>
        </w:rPr>
        <w:t>e</w:t>
      </w:r>
      <w:r w:rsidR="008F7129" w:rsidRPr="00F00D94">
        <w:rPr>
          <w:rFonts w:ascii="Arial" w:eastAsia="Arial" w:hAnsi="Arial" w:cs="Arial"/>
          <w:spacing w:val="-2"/>
        </w:rPr>
        <w:t>x</w:t>
      </w:r>
      <w:r w:rsidR="008F7129" w:rsidRPr="00F00D94">
        <w:rPr>
          <w:rFonts w:ascii="Arial" w:eastAsia="Arial" w:hAnsi="Arial" w:cs="Arial"/>
          <w:spacing w:val="1"/>
        </w:rPr>
        <w:t>pend</w:t>
      </w:r>
      <w:r w:rsidR="008F7129" w:rsidRPr="00F00D94">
        <w:rPr>
          <w:rFonts w:ascii="Arial" w:eastAsia="Arial" w:hAnsi="Arial" w:cs="Arial"/>
        </w:rPr>
        <w:t>it</w:t>
      </w:r>
      <w:r w:rsidR="008F7129" w:rsidRPr="00F00D94">
        <w:rPr>
          <w:rFonts w:ascii="Arial" w:eastAsia="Arial" w:hAnsi="Arial" w:cs="Arial"/>
          <w:spacing w:val="1"/>
        </w:rPr>
        <w:t>u</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rPr>
        <w:t>l</w:t>
      </w:r>
      <w:r w:rsidR="008F7129" w:rsidRPr="00F00D94">
        <w:rPr>
          <w:rFonts w:ascii="Arial" w:eastAsia="Arial" w:hAnsi="Arial" w:cs="Arial"/>
          <w:spacing w:val="1"/>
        </w:rPr>
        <w:t>e</w:t>
      </w:r>
      <w:r w:rsidR="008F7129" w:rsidRPr="00F00D94">
        <w:rPr>
          <w:rFonts w:ascii="Arial" w:eastAsia="Arial" w:hAnsi="Arial" w:cs="Arial"/>
          <w:spacing w:val="-2"/>
        </w:rPr>
        <w:t>v</w:t>
      </w:r>
      <w:r w:rsidR="008F7129" w:rsidRPr="00F00D94">
        <w:rPr>
          <w:rFonts w:ascii="Arial" w:eastAsia="Arial" w:hAnsi="Arial" w:cs="Arial"/>
          <w:spacing w:val="1"/>
        </w:rPr>
        <w:t>e</w:t>
      </w:r>
      <w:r w:rsidR="008F7129" w:rsidRPr="00F00D94">
        <w:rPr>
          <w:rFonts w:ascii="Arial" w:eastAsia="Arial" w:hAnsi="Arial" w:cs="Arial"/>
        </w:rPr>
        <w:t xml:space="preserve">ls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 xml:space="preserve">e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2"/>
        </w:rPr>
        <w:t>t</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1"/>
        </w:rPr>
        <w:t>e</w:t>
      </w:r>
      <w:r w:rsidR="008F7129" w:rsidRPr="00F00D94">
        <w:rPr>
          <w:rFonts w:ascii="Arial" w:eastAsia="Arial" w:hAnsi="Arial" w:cs="Arial"/>
          <w:spacing w:val="1"/>
        </w:rPr>
        <w:t>d.</w:t>
      </w:r>
    </w:p>
    <w:p w14:paraId="3282C9E8" w14:textId="67600285" w:rsidR="008F7129" w:rsidRPr="00F00D94" w:rsidRDefault="00B32774" w:rsidP="008F7129">
      <w:pPr>
        <w:spacing w:after="240" w:line="244" w:lineRule="auto"/>
        <w:ind w:left="360" w:hanging="360"/>
        <w:jc w:val="both"/>
        <w:rPr>
          <w:rFonts w:ascii="Arial" w:eastAsia="Arial" w:hAnsi="Arial" w:cs="Arial"/>
        </w:rPr>
      </w:pPr>
      <w:r>
        <w:rPr>
          <w:rFonts w:ascii="Arial" w:eastAsia="Arial" w:hAnsi="Arial" w:cs="Arial"/>
          <w:spacing w:val="1"/>
        </w:rPr>
        <w:t>3</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9" w:name="_Toc18851030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9"/>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3F42787" w14:textId="2A56F53A" w:rsidR="00B72C41" w:rsidRPr="00B72C41" w:rsidRDefault="00B72C41" w:rsidP="00AC7B25">
            <w:pPr>
              <w:spacing w:after="240"/>
              <w:jc w:val="both"/>
              <w:rPr>
                <w:rFonts w:ascii="Arial" w:hAnsi="Arial" w:cs="Arial"/>
                <w:i/>
                <w:color w:val="002060"/>
                <w:sz w:val="20"/>
                <w:szCs w:val="20"/>
              </w:rPr>
            </w:pPr>
            <w:r w:rsidRPr="00B72C41">
              <w:rPr>
                <w:rFonts w:ascii="Arial" w:hAnsi="Arial" w:cs="Arial"/>
                <w:i/>
                <w:color w:val="002060"/>
                <w:sz w:val="20"/>
              </w:rPr>
              <w:t>Level of Effort and Earmarking</w:t>
            </w:r>
            <w:r>
              <w:rPr>
                <w:rFonts w:ascii="Arial" w:hAnsi="Arial" w:cs="Arial"/>
                <w:i/>
                <w:color w:val="002060"/>
                <w:sz w:val="20"/>
              </w:rPr>
              <w:t xml:space="preserve"> requirements described in the Part 4 OMB Program Specific Requirements section above apply at the state level, not the local level. While Ohio MHAS did not identify sweeping Level of Effort or Earmarking requirements at</w:t>
            </w:r>
            <w:r w:rsidRPr="00B72C41">
              <w:rPr>
                <w:rFonts w:ascii="Arial" w:hAnsi="Arial" w:cs="Arial"/>
                <w:i/>
                <w:color w:val="002060"/>
                <w:sz w:val="20"/>
              </w:rPr>
              <w:t xml:space="preserve"> </w:t>
            </w:r>
            <w:r>
              <w:rPr>
                <w:rFonts w:ascii="Arial" w:hAnsi="Arial" w:cs="Arial"/>
                <w:i/>
                <w:color w:val="002060"/>
                <w:sz w:val="20"/>
              </w:rPr>
              <w:t xml:space="preserve">the local level, auditors should review the grant agreement, correspondence with the pass-through agency, and other pertinent information to determine if Level of Effort and/or Earmarking requirements apply to the auditee. </w:t>
            </w:r>
          </w:p>
          <w:p w14:paraId="3367E3F8" w14:textId="4C9626C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B32774">
              <w:rPr>
                <w:rFonts w:ascii="Arial" w:hAnsi="Arial" w:cs="Arial"/>
                <w:b/>
                <w:bCs/>
                <w:sz w:val="20"/>
              </w:rPr>
              <w:t xml:space="preserve"> </w:t>
            </w:r>
            <w:r w:rsidR="00B32774" w:rsidRPr="00B32774">
              <w:rPr>
                <w:rFonts w:ascii="Arial" w:hAnsi="Arial" w:cs="Arial"/>
                <w:i/>
                <w:iCs/>
                <w:color w:val="002060"/>
                <w:sz w:val="20"/>
              </w:rPr>
              <w:t>– Not Applicable</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0" w:name="_Toc188510303"/>
      <w:r w:rsidRPr="00220BD0">
        <w:rPr>
          <w:rFonts w:cs="Arial"/>
          <w:sz w:val="24"/>
          <w:szCs w:val="24"/>
        </w:rPr>
        <w:t>Audit Implications Summary</w:t>
      </w:r>
      <w:bookmarkEnd w:id="70"/>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E31438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9"/>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1" w:name="_Toc442267698"/>
      <w:bookmarkStart w:id="72" w:name="_Toc188510304"/>
      <w:r w:rsidRPr="00220BD0">
        <w:rPr>
          <w:rFonts w:cs="Arial"/>
          <w:sz w:val="24"/>
        </w:rPr>
        <w:lastRenderedPageBreak/>
        <w:t xml:space="preserve">H.  PERIOD </w:t>
      </w:r>
      <w:r w:rsidR="00F12052" w:rsidRPr="00220BD0">
        <w:rPr>
          <w:rFonts w:cs="Arial"/>
          <w:sz w:val="24"/>
        </w:rPr>
        <w:t>OF PERFORMANCE</w:t>
      </w:r>
      <w:bookmarkEnd w:id="71"/>
      <w:bookmarkEnd w:id="72"/>
    </w:p>
    <w:p w14:paraId="07D5A30C" w14:textId="635B47C0" w:rsidR="007E5B12" w:rsidRPr="00220BD0" w:rsidRDefault="004655E0" w:rsidP="006672EA">
      <w:pPr>
        <w:pStyle w:val="Heading3"/>
        <w:jc w:val="both"/>
        <w:rPr>
          <w:rFonts w:cs="Arial"/>
          <w:sz w:val="24"/>
          <w:szCs w:val="24"/>
        </w:rPr>
      </w:pPr>
      <w:bookmarkStart w:id="73" w:name="_Toc188510305"/>
      <w:r w:rsidRPr="00220BD0">
        <w:rPr>
          <w:rFonts w:cs="Arial"/>
          <w:sz w:val="24"/>
          <w:szCs w:val="24"/>
        </w:rPr>
        <w:t xml:space="preserve">OMB </w:t>
      </w:r>
      <w:r w:rsidR="007E5B12" w:rsidRPr="00220BD0">
        <w:rPr>
          <w:rFonts w:cs="Arial"/>
          <w:sz w:val="24"/>
          <w:szCs w:val="24"/>
        </w:rPr>
        <w:t>Compliance Requirements</w:t>
      </w:r>
      <w:bookmarkEnd w:id="73"/>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D4E1A6C" w14:textId="3456DDF4" w:rsidR="00B32774" w:rsidRPr="00B32774" w:rsidRDefault="00B32774" w:rsidP="00D74E6A">
      <w:pPr>
        <w:spacing w:after="240"/>
        <w:jc w:val="both"/>
        <w:rPr>
          <w:rFonts w:ascii="Arial" w:hAnsi="Arial" w:cs="Arial"/>
          <w:bCs/>
          <w:iCs/>
        </w:rPr>
      </w:pPr>
      <w:r w:rsidRPr="00B32774">
        <w:rPr>
          <w:rFonts w:ascii="Arial" w:hAnsi="Arial" w:cs="Arial"/>
          <w:bCs/>
          <w:iCs/>
        </w:rPr>
        <w:t>Any amounts awarded to the state for a fiscal year shall be available for obligation and expenditure until the end of the fiscal year following the fiscal year for which the amounts were awarded (42 USC 300x-62).</w:t>
      </w:r>
    </w:p>
    <w:p w14:paraId="3A2B37DD" w14:textId="6C765B03" w:rsidR="00B32774" w:rsidRPr="004A0AB6" w:rsidRDefault="00B32774" w:rsidP="00D74E6A">
      <w:pPr>
        <w:spacing w:after="240"/>
        <w:jc w:val="both"/>
        <w:rPr>
          <w:rFonts w:ascii="Arial" w:hAnsi="Arial" w:cs="Arial"/>
          <w:b/>
          <w:highlight w:val="yellow"/>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74" w:name="_Toc188510306"/>
      <w:r w:rsidRPr="00220BD0">
        <w:rPr>
          <w:rFonts w:cs="Arial"/>
          <w:sz w:val="24"/>
          <w:szCs w:val="24"/>
        </w:rPr>
        <w:t>Additional Program Specific Information</w:t>
      </w:r>
      <w:bookmarkEnd w:id="74"/>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4C4CA87A"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910CC">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17A37FA" w14:textId="77777777" w:rsidR="00EB3F27" w:rsidRPr="004849DB" w:rsidRDefault="00EB3F27" w:rsidP="00EB3F27">
      <w:pPr>
        <w:autoSpaceDE w:val="0"/>
        <w:autoSpaceDN w:val="0"/>
        <w:adjustRightInd w:val="0"/>
        <w:spacing w:after="240"/>
        <w:jc w:val="both"/>
        <w:rPr>
          <w:rFonts w:ascii="Arial" w:hAnsi="Arial" w:cs="Arial"/>
          <w:b/>
          <w:i/>
          <w:u w:val="single"/>
        </w:rPr>
      </w:pPr>
      <w:r w:rsidRPr="004849DB">
        <w:rPr>
          <w:rFonts w:ascii="Arial" w:hAnsi="Arial" w:cs="Arial"/>
          <w:b/>
          <w:i/>
          <w:u w:val="single"/>
        </w:rPr>
        <w:t>OhioMHAS:</w:t>
      </w:r>
    </w:p>
    <w:p w14:paraId="48C2175C" w14:textId="77777777" w:rsidR="00EB3F27" w:rsidRPr="006B4A4A" w:rsidRDefault="00EB3F27" w:rsidP="00EB3F27">
      <w:pPr>
        <w:pStyle w:val="Default"/>
        <w:spacing w:after="240"/>
        <w:jc w:val="both"/>
        <w:rPr>
          <w:rFonts w:ascii="Arial" w:eastAsia="Times New Roman" w:hAnsi="Arial" w:cs="Arial"/>
          <w:sz w:val="20"/>
          <w:szCs w:val="20"/>
        </w:rPr>
      </w:pPr>
      <w:r w:rsidRPr="004849DB">
        <w:rPr>
          <w:rFonts w:ascii="Arial" w:hAnsi="Arial" w:cs="Arial"/>
          <w:sz w:val="20"/>
          <w:szCs w:val="20"/>
        </w:rPr>
        <w:t xml:space="preserve">Primary Prevention [45 CFR 96.125]. The SUB-AWARDEE shall comply with expending the minimum amount of federal </w:t>
      </w:r>
      <w:r>
        <w:rPr>
          <w:rFonts w:ascii="Arial" w:hAnsi="Arial" w:cs="Arial"/>
          <w:sz w:val="20"/>
          <w:szCs w:val="20"/>
        </w:rPr>
        <w:t>SUPTRS</w:t>
      </w:r>
      <w:r w:rsidRPr="004849DB">
        <w:rPr>
          <w:rFonts w:ascii="Arial" w:hAnsi="Arial" w:cs="Arial"/>
          <w:sz w:val="20"/>
          <w:szCs w:val="20"/>
        </w:rPr>
        <w:t xml:space="preserve"> Block Grant prevention funds identified in the Department’s annual per capita </w:t>
      </w:r>
      <w:r w:rsidRPr="004849DB">
        <w:rPr>
          <w:rFonts w:ascii="Arial" w:hAnsi="Arial" w:cs="Arial"/>
          <w:sz w:val="20"/>
          <w:szCs w:val="20"/>
        </w:rPr>
        <w:lastRenderedPageBreak/>
        <w:t xml:space="preserve">allocation notice to the SUB-AWARDEE. These funds must be used for prevention services to reduce the risk of alcohol and other drug abuse for individuals who do not require treatment for substance abuse. The SUB-AWARDEE shall give priority to programs for populations that are at risk of developing a pattern of such abuse and ensure </w:t>
      </w:r>
      <w:r w:rsidRPr="006B4A4A">
        <w:rPr>
          <w:rFonts w:ascii="Arial" w:hAnsi="Arial" w:cs="Arial"/>
          <w:sz w:val="20"/>
          <w:szCs w:val="20"/>
        </w:rPr>
        <w:t xml:space="preserve">that programs receiving priority develop community-based strategies for the prevention of such abuse, including strategies to discourage the use of alcoholic beverages and tobacco products by individuals to whom it is unlawful to sell or distribute such beverages or products. </w:t>
      </w:r>
    </w:p>
    <w:p w14:paraId="644728F5" w14:textId="35C336CC" w:rsidR="00EB3F27" w:rsidRPr="00EB3F27" w:rsidRDefault="00EB3F27" w:rsidP="00CD5DC7">
      <w:pPr>
        <w:spacing w:after="240"/>
        <w:jc w:val="both"/>
        <w:rPr>
          <w:rFonts w:ascii="Arial" w:hAnsi="Arial" w:cs="Arial"/>
        </w:rPr>
      </w:pPr>
      <w:r w:rsidRPr="006B4A4A">
        <w:rPr>
          <w:rFonts w:ascii="Arial" w:hAnsi="Arial" w:cs="Arial"/>
          <w:i/>
        </w:rPr>
        <w:t>(Source:</w:t>
      </w:r>
      <w:r>
        <w:rPr>
          <w:rFonts w:ascii="Arial" w:hAnsi="Arial" w:cs="Arial"/>
          <w:i/>
        </w:rPr>
        <w:t xml:space="preserve"> </w:t>
      </w:r>
      <w:hyperlink r:id="rId60" w:history="1">
        <w:r w:rsidRPr="006B4A4A">
          <w:rPr>
            <w:rStyle w:val="Hyperlink"/>
            <w:rFonts w:cs="Arial"/>
            <w:i/>
          </w:rPr>
          <w:t>2024 OhioMHAS Agreement and Assurances</w:t>
        </w:r>
      </w:hyperlink>
      <w:r w:rsidRPr="006B4A4A">
        <w:rPr>
          <w:rStyle w:val="Hyperlink"/>
          <w:rFonts w:cs="Arial"/>
          <w:i/>
          <w:color w:val="auto"/>
          <w:u w:val="none"/>
        </w:rPr>
        <w:t>)</w:t>
      </w:r>
      <w:r w:rsidRPr="00AA5B05">
        <w:rPr>
          <w:rFonts w:ascii="Arial" w:hAnsi="Arial" w:cs="Arial"/>
          <w:b/>
          <w:highlight w:val="yellow"/>
        </w:rPr>
        <w:t xml:space="preserve"> </w:t>
      </w:r>
    </w:p>
    <w:p w14:paraId="7A569597" w14:textId="77777777" w:rsidR="00C30DAB" w:rsidRPr="00220BD0" w:rsidRDefault="00205793" w:rsidP="006672EA">
      <w:pPr>
        <w:pStyle w:val="Heading3"/>
        <w:jc w:val="both"/>
        <w:rPr>
          <w:rFonts w:cs="Arial"/>
          <w:bCs/>
          <w:sz w:val="24"/>
          <w:szCs w:val="24"/>
        </w:rPr>
      </w:pPr>
      <w:bookmarkStart w:id="75" w:name="_Toc188510307"/>
      <w:r w:rsidRPr="00220BD0">
        <w:rPr>
          <w:rFonts w:cs="Arial"/>
          <w:sz w:val="24"/>
          <w:szCs w:val="24"/>
        </w:rPr>
        <w:t xml:space="preserve">Audit Objectives </w:t>
      </w:r>
      <w:r w:rsidR="00C30DAB" w:rsidRPr="00220BD0">
        <w:rPr>
          <w:rFonts w:cs="Arial"/>
          <w:sz w:val="24"/>
          <w:szCs w:val="24"/>
        </w:rPr>
        <w:t>and Control Testing</w:t>
      </w:r>
      <w:bookmarkEnd w:id="75"/>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6" w:name="_Toc188510308"/>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7" w:name="_Toc188510309"/>
      <w:r w:rsidRPr="00220BD0">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3233C1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lastRenderedPageBreak/>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2"/>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8" w:name="J___PROGRAM_INCOME"/>
      <w:bookmarkStart w:id="79" w:name="L___REPORTING"/>
      <w:bookmarkStart w:id="80" w:name="_Toc442267701"/>
      <w:bookmarkStart w:id="81" w:name="_Toc188510310"/>
      <w:bookmarkEnd w:id="78"/>
      <w:bookmarkEnd w:id="79"/>
      <w:r w:rsidRPr="000706D1">
        <w:rPr>
          <w:rFonts w:cs="Arial"/>
          <w:sz w:val="24"/>
        </w:rPr>
        <w:lastRenderedPageBreak/>
        <w:t>L.  REPORTING</w:t>
      </w:r>
      <w:bookmarkEnd w:id="80"/>
      <w:bookmarkEnd w:id="81"/>
    </w:p>
    <w:p w14:paraId="13BAAFFB" w14:textId="16BE9FED" w:rsidR="007E5B12" w:rsidRPr="000706D1" w:rsidRDefault="00261D87" w:rsidP="006672EA">
      <w:pPr>
        <w:pStyle w:val="Heading3"/>
        <w:jc w:val="both"/>
        <w:rPr>
          <w:rFonts w:cs="Arial"/>
          <w:sz w:val="24"/>
          <w:szCs w:val="24"/>
        </w:rPr>
      </w:pPr>
      <w:bookmarkStart w:id="82" w:name="_Toc188510311"/>
      <w:r w:rsidRPr="000706D1">
        <w:rPr>
          <w:rFonts w:cs="Arial"/>
          <w:sz w:val="24"/>
          <w:szCs w:val="24"/>
        </w:rPr>
        <w:t xml:space="preserve">OMB </w:t>
      </w:r>
      <w:r w:rsidR="007E5B12" w:rsidRPr="000706D1">
        <w:rPr>
          <w:rFonts w:cs="Arial"/>
          <w:sz w:val="24"/>
          <w:szCs w:val="24"/>
        </w:rPr>
        <w:t>Compliance Requirements</w:t>
      </w:r>
      <w:bookmarkEnd w:id="8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w:t>
      </w:r>
      <w:proofErr w:type="gramStart"/>
      <w:r w:rsidRPr="00F00D94">
        <w:rPr>
          <w:rFonts w:ascii="Arial" w:hAnsi="Arial" w:cs="Arial"/>
        </w:rPr>
        <w:t>on the basis of</w:t>
      </w:r>
      <w:proofErr w:type="gramEnd"/>
      <w:r w:rsidRPr="00F00D94">
        <w:rPr>
          <w:rFonts w:ascii="Arial" w:hAnsi="Arial" w:cs="Arial"/>
        </w:rPr>
        <w:t xml:space="preserve">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financial reporting requirements for subrecipients are as specified by the pass-through entity.  In many cases, these will be the same as or </w:t>
      </w:r>
      <w:proofErr w:type="gramStart"/>
      <w:r w:rsidRPr="00F00D94">
        <w:rPr>
          <w:rFonts w:ascii="Arial" w:hAnsi="Arial" w:cs="Arial"/>
        </w:rPr>
        <w:t>similar to</w:t>
      </w:r>
      <w:proofErr w:type="gramEnd"/>
      <w:r w:rsidRPr="00F00D94">
        <w:rPr>
          <w:rFonts w:ascii="Arial" w:hAnsi="Arial" w:cs="Arial"/>
        </w:rPr>
        <w:t xml:space="preserve">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2AE0A9B4"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B32774">
        <w:rPr>
          <w:rFonts w:ascii="Arial" w:hAnsi="Arial" w:cs="Arial"/>
          <w:i/>
          <w:iCs/>
        </w:rPr>
        <w:t xml:space="preserve"> – </w:t>
      </w:r>
      <w:r w:rsidR="00B32774" w:rsidRPr="00B32774">
        <w:rPr>
          <w:rFonts w:ascii="Arial" w:hAnsi="Arial" w:cs="Arial"/>
          <w:i/>
          <w:iCs/>
          <w:color w:val="002060"/>
        </w:rPr>
        <w:t>Not Applicable</w:t>
      </w:r>
    </w:p>
    <w:p w14:paraId="495F6785" w14:textId="54C1001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B32774">
        <w:rPr>
          <w:rFonts w:ascii="Arial" w:hAnsi="Arial" w:cs="Arial"/>
          <w:i/>
        </w:rPr>
        <w:t xml:space="preserve"> – </w:t>
      </w:r>
      <w:r w:rsidR="00B32774" w:rsidRPr="00B32774">
        <w:rPr>
          <w:rFonts w:ascii="Arial" w:hAnsi="Arial" w:cs="Arial"/>
          <w:i/>
          <w:color w:val="002060"/>
        </w:rPr>
        <w:t>Not Applicable; Only applicable for direct recipients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 xml:space="preserve">For purposes of programs included in parts 4 and 5 of this Supplement, the designation “Not Applicable” in relation to “Financial Reporting,” “Performance Reporting,” and “Special Reporting” means that the auditor is not expected to audit anything in these categories, </w:t>
      </w:r>
      <w:proofErr w:type="gramStart"/>
      <w:r w:rsidRPr="00F00D94">
        <w:rPr>
          <w:rFonts w:ascii="Arial" w:hAnsi="Arial" w:cs="Arial"/>
          <w:szCs w:val="20"/>
        </w:rPr>
        <w:t>whether or not</w:t>
      </w:r>
      <w:proofErr w:type="gramEnd"/>
      <w:r w:rsidRPr="00F00D94">
        <w:rPr>
          <w:rFonts w:ascii="Arial" w:hAnsi="Arial" w:cs="Arial"/>
          <w:szCs w:val="20"/>
        </w:rPr>
        <w:t xml:space="preserve">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66532AB" w14:textId="7F52F302" w:rsidR="00B32774" w:rsidRPr="00B32774" w:rsidRDefault="00B32774" w:rsidP="00B32774">
      <w:pPr>
        <w:spacing w:after="240"/>
        <w:jc w:val="both"/>
        <w:rPr>
          <w:rFonts w:ascii="Arial" w:hAnsi="Arial" w:cs="Arial"/>
          <w:b/>
          <w:iCs/>
        </w:rPr>
      </w:pPr>
      <w:r w:rsidRPr="00B32774">
        <w:rPr>
          <w:rFonts w:ascii="Arial" w:hAnsi="Arial" w:cs="Arial"/>
          <w:b/>
          <w:iCs/>
        </w:rPr>
        <w:t>1.</w:t>
      </w:r>
      <w:r w:rsidRPr="00B32774">
        <w:rPr>
          <w:rFonts w:ascii="Arial" w:hAnsi="Arial" w:cs="Arial"/>
          <w:b/>
          <w:iCs/>
        </w:rPr>
        <w:tab/>
        <w:t>Financial Reporting</w:t>
      </w:r>
    </w:p>
    <w:p w14:paraId="1BD29440" w14:textId="4F84942F" w:rsidR="00B32774" w:rsidRPr="00B32774" w:rsidRDefault="00B32774" w:rsidP="00B32774">
      <w:pPr>
        <w:spacing w:after="240"/>
        <w:ind w:left="720"/>
        <w:jc w:val="both"/>
        <w:rPr>
          <w:rFonts w:ascii="Arial" w:hAnsi="Arial" w:cs="Arial"/>
          <w:bCs/>
          <w:iCs/>
        </w:rPr>
      </w:pPr>
      <w:r w:rsidRPr="00B32774">
        <w:rPr>
          <w:rFonts w:ascii="Arial" w:hAnsi="Arial" w:cs="Arial"/>
          <w:bCs/>
          <w:iCs/>
        </w:rPr>
        <w:t>a.</w:t>
      </w:r>
      <w:r w:rsidRPr="00B32774">
        <w:rPr>
          <w:rFonts w:ascii="Arial" w:hAnsi="Arial" w:cs="Arial"/>
          <w:bCs/>
          <w:iCs/>
        </w:rPr>
        <w:tab/>
      </w:r>
      <w:r w:rsidRPr="00B32774">
        <w:rPr>
          <w:rFonts w:ascii="Arial" w:hAnsi="Arial" w:cs="Arial"/>
          <w:bCs/>
          <w:i/>
        </w:rPr>
        <w:t>SF– 270, Request for Advance or Reimbursement</w:t>
      </w:r>
      <w:r w:rsidRPr="00B32774">
        <w:rPr>
          <w:rFonts w:ascii="Arial" w:hAnsi="Arial" w:cs="Arial"/>
          <w:bCs/>
          <w:iCs/>
        </w:rPr>
        <w:t xml:space="preserve"> – Not Applicable</w:t>
      </w:r>
    </w:p>
    <w:p w14:paraId="310EE699" w14:textId="66EED1F9" w:rsidR="00B32774" w:rsidRPr="00B32774" w:rsidRDefault="00B32774" w:rsidP="00B32774">
      <w:pPr>
        <w:spacing w:after="240"/>
        <w:ind w:left="1440" w:hanging="720"/>
        <w:jc w:val="both"/>
        <w:rPr>
          <w:rFonts w:ascii="Arial" w:hAnsi="Arial" w:cs="Arial"/>
          <w:bCs/>
          <w:iCs/>
        </w:rPr>
      </w:pPr>
      <w:r w:rsidRPr="00B32774">
        <w:rPr>
          <w:rFonts w:ascii="Arial" w:hAnsi="Arial" w:cs="Arial"/>
          <w:bCs/>
          <w:iCs/>
        </w:rPr>
        <w:t>b.</w:t>
      </w:r>
      <w:r w:rsidRPr="00B32774">
        <w:rPr>
          <w:rFonts w:ascii="Arial" w:hAnsi="Arial" w:cs="Arial"/>
          <w:bCs/>
          <w:iCs/>
        </w:rPr>
        <w:tab/>
      </w:r>
      <w:r w:rsidRPr="00B32774">
        <w:rPr>
          <w:rFonts w:ascii="Arial" w:hAnsi="Arial" w:cs="Arial"/>
          <w:bCs/>
          <w:i/>
        </w:rPr>
        <w:t>SF-271, Outlay Report and Request for Reimbursement for Construction Programs</w:t>
      </w:r>
      <w:r w:rsidRPr="00B32774">
        <w:rPr>
          <w:rFonts w:ascii="Arial" w:hAnsi="Arial" w:cs="Arial"/>
          <w:bCs/>
          <w:iCs/>
        </w:rPr>
        <w:t xml:space="preserve"> – Not Applicable</w:t>
      </w:r>
    </w:p>
    <w:p w14:paraId="66282654" w14:textId="4C0CE144" w:rsidR="00B32774" w:rsidRPr="00B32774" w:rsidRDefault="00B32774" w:rsidP="00B32774">
      <w:pPr>
        <w:spacing w:after="240"/>
        <w:ind w:left="720"/>
        <w:jc w:val="both"/>
        <w:rPr>
          <w:rFonts w:ascii="Arial" w:hAnsi="Arial" w:cs="Arial"/>
          <w:bCs/>
          <w:iCs/>
        </w:rPr>
      </w:pPr>
      <w:r w:rsidRPr="00B32774">
        <w:rPr>
          <w:rFonts w:ascii="Arial" w:hAnsi="Arial" w:cs="Arial"/>
          <w:bCs/>
          <w:iCs/>
        </w:rPr>
        <w:t>c.</w:t>
      </w:r>
      <w:r w:rsidRPr="00B32774">
        <w:rPr>
          <w:rFonts w:ascii="Arial" w:hAnsi="Arial" w:cs="Arial"/>
          <w:bCs/>
          <w:iCs/>
        </w:rPr>
        <w:tab/>
      </w:r>
      <w:r w:rsidRPr="00B32774">
        <w:rPr>
          <w:rFonts w:ascii="Arial" w:hAnsi="Arial" w:cs="Arial"/>
          <w:bCs/>
          <w:i/>
        </w:rPr>
        <w:t>SF-425, Federal Financial Report</w:t>
      </w:r>
      <w:r w:rsidRPr="00B32774">
        <w:rPr>
          <w:rFonts w:ascii="Arial" w:hAnsi="Arial" w:cs="Arial"/>
          <w:bCs/>
          <w:iCs/>
        </w:rPr>
        <w:t xml:space="preserve"> – Applicable</w:t>
      </w:r>
    </w:p>
    <w:p w14:paraId="258EF323" w14:textId="3491BC44" w:rsidR="00B32774" w:rsidRPr="00B32774" w:rsidRDefault="00B32774" w:rsidP="00B32774">
      <w:pPr>
        <w:spacing w:after="240"/>
        <w:jc w:val="both"/>
        <w:rPr>
          <w:rFonts w:ascii="Arial" w:hAnsi="Arial" w:cs="Arial"/>
          <w:bCs/>
          <w:iCs/>
        </w:rPr>
      </w:pPr>
      <w:r w:rsidRPr="00B32774">
        <w:rPr>
          <w:rFonts w:ascii="Arial" w:hAnsi="Arial" w:cs="Arial"/>
          <w:b/>
          <w:iCs/>
        </w:rPr>
        <w:t>2.</w:t>
      </w:r>
      <w:r w:rsidRPr="00B32774">
        <w:rPr>
          <w:rFonts w:ascii="Arial" w:hAnsi="Arial" w:cs="Arial"/>
          <w:b/>
          <w:iCs/>
        </w:rPr>
        <w:tab/>
        <w:t>Performance Reporting</w:t>
      </w:r>
      <w:r>
        <w:rPr>
          <w:rFonts w:ascii="Arial" w:hAnsi="Arial" w:cs="Arial"/>
          <w:bCs/>
          <w:iCs/>
        </w:rPr>
        <w:t xml:space="preserve"> - </w:t>
      </w:r>
      <w:r w:rsidRPr="00B32774">
        <w:rPr>
          <w:rFonts w:ascii="Arial" w:hAnsi="Arial" w:cs="Arial"/>
          <w:bCs/>
          <w:iCs/>
        </w:rPr>
        <w:t>Not Applicable</w:t>
      </w:r>
    </w:p>
    <w:p w14:paraId="3FE66E6D" w14:textId="04F61EBE" w:rsidR="00B32774" w:rsidRPr="00B32774" w:rsidRDefault="00B32774" w:rsidP="00B32774">
      <w:pPr>
        <w:spacing w:after="240"/>
        <w:jc w:val="both"/>
        <w:rPr>
          <w:rFonts w:ascii="Arial" w:hAnsi="Arial" w:cs="Arial"/>
          <w:bCs/>
          <w:iCs/>
        </w:rPr>
      </w:pPr>
      <w:r w:rsidRPr="00B32774">
        <w:rPr>
          <w:rFonts w:ascii="Arial" w:hAnsi="Arial" w:cs="Arial"/>
          <w:b/>
          <w:iCs/>
        </w:rPr>
        <w:t>3.</w:t>
      </w:r>
      <w:r w:rsidRPr="00B32774">
        <w:rPr>
          <w:rFonts w:ascii="Arial" w:hAnsi="Arial" w:cs="Arial"/>
          <w:b/>
          <w:iCs/>
        </w:rPr>
        <w:tab/>
        <w:t>Special Reporting</w:t>
      </w:r>
      <w:r>
        <w:rPr>
          <w:rFonts w:ascii="Arial" w:hAnsi="Arial" w:cs="Arial"/>
          <w:bCs/>
          <w:iCs/>
        </w:rPr>
        <w:t xml:space="preserve"> - </w:t>
      </w:r>
      <w:r w:rsidRPr="00B32774">
        <w:rPr>
          <w:rFonts w:ascii="Arial" w:hAnsi="Arial" w:cs="Arial"/>
          <w:bCs/>
          <w:iCs/>
        </w:rPr>
        <w:t>Not Applicable</w:t>
      </w:r>
    </w:p>
    <w:p w14:paraId="557E6736" w14:textId="0DA8E02D" w:rsidR="00B32774" w:rsidRPr="00510883" w:rsidRDefault="00B32774" w:rsidP="00B32774">
      <w:pPr>
        <w:spacing w:after="240"/>
        <w:ind w:left="720" w:hanging="720"/>
        <w:jc w:val="both"/>
        <w:rPr>
          <w:rFonts w:ascii="Arial" w:hAnsi="Arial" w:cs="Arial"/>
          <w:bCs/>
          <w:i/>
          <w:color w:val="002060"/>
        </w:rPr>
      </w:pPr>
      <w:r w:rsidRPr="00B32774">
        <w:rPr>
          <w:rFonts w:ascii="Arial" w:hAnsi="Arial" w:cs="Arial"/>
          <w:b/>
          <w:iCs/>
        </w:rPr>
        <w:t>4.</w:t>
      </w:r>
      <w:r w:rsidRPr="00B32774">
        <w:rPr>
          <w:rFonts w:ascii="Arial" w:hAnsi="Arial" w:cs="Arial"/>
          <w:b/>
          <w:iCs/>
        </w:rPr>
        <w:tab/>
        <w:t>Special Reporting for Federal Funding Accountability and Transparency Act</w:t>
      </w:r>
      <w:r>
        <w:rPr>
          <w:rFonts w:ascii="Arial" w:hAnsi="Arial" w:cs="Arial"/>
          <w:b/>
          <w:iCs/>
        </w:rPr>
        <w:t xml:space="preserve"> </w:t>
      </w:r>
      <w:r w:rsidRPr="00B32774">
        <w:rPr>
          <w:rFonts w:ascii="Arial" w:hAnsi="Arial" w:cs="Arial"/>
          <w:bCs/>
          <w:iCs/>
        </w:rPr>
        <w:t xml:space="preserve">- </w:t>
      </w:r>
      <w:r w:rsidRPr="00510883">
        <w:rPr>
          <w:rFonts w:ascii="Arial" w:hAnsi="Arial" w:cs="Arial"/>
          <w:bCs/>
          <w:i/>
          <w:color w:val="002060"/>
        </w:rPr>
        <w:t>Not Applicable</w:t>
      </w:r>
      <w:r>
        <w:rPr>
          <w:rFonts w:ascii="Arial" w:hAnsi="Arial" w:cs="Arial"/>
          <w:bCs/>
          <w:i/>
          <w:color w:val="002060"/>
        </w:rPr>
        <w:t xml:space="preserve">; </w:t>
      </w:r>
      <w:r w:rsidRPr="00510883">
        <w:rPr>
          <w:rFonts w:ascii="Arial" w:hAnsi="Arial" w:cs="Arial"/>
          <w:bCs/>
          <w:i/>
          <w:color w:val="002060"/>
        </w:rPr>
        <w:t>Only applicable for direct recipients.</w:t>
      </w:r>
    </w:p>
    <w:p w14:paraId="014E189A" w14:textId="69119796" w:rsidR="00B32774" w:rsidRPr="004A0AB6" w:rsidRDefault="00B32774" w:rsidP="00D74E6A">
      <w:pPr>
        <w:spacing w:after="240"/>
        <w:jc w:val="both"/>
        <w:rPr>
          <w:rFonts w:ascii="Arial" w:hAnsi="Arial" w:cs="Arial"/>
          <w:b/>
          <w:highlight w:val="yellow"/>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5979A865" w14:textId="77777777" w:rsidR="00703F98" w:rsidRPr="000706D1" w:rsidRDefault="00703F98" w:rsidP="006672EA">
      <w:pPr>
        <w:pStyle w:val="Heading3"/>
        <w:jc w:val="both"/>
        <w:rPr>
          <w:rFonts w:cs="Arial"/>
          <w:sz w:val="24"/>
          <w:szCs w:val="24"/>
        </w:rPr>
      </w:pPr>
      <w:bookmarkStart w:id="83" w:name="_Toc188510312"/>
      <w:r w:rsidRPr="000706D1">
        <w:rPr>
          <w:rFonts w:cs="Arial"/>
          <w:sz w:val="24"/>
          <w:szCs w:val="24"/>
        </w:rPr>
        <w:t>Additional Program Specific Information</w:t>
      </w:r>
      <w:bookmarkEnd w:id="8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5C9B1422"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910CC">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DDA895" w14:textId="77777777" w:rsidR="00EB3F27" w:rsidRPr="004849DB" w:rsidRDefault="00EB3F27" w:rsidP="00EB3F27">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4849DB">
        <w:rPr>
          <w:rFonts w:ascii="Arial" w:hAnsi="Arial" w:cs="Arial"/>
          <w:b/>
        </w:rPr>
        <w:t xml:space="preserve">Reporting Requirements: </w:t>
      </w:r>
      <w:r w:rsidRPr="004849DB">
        <w:rPr>
          <w:rFonts w:ascii="Arial" w:hAnsi="Arial" w:cs="Arial"/>
          <w:i/>
        </w:rPr>
        <w:t>(SFY 202</w:t>
      </w:r>
      <w:r>
        <w:rPr>
          <w:rFonts w:ascii="Arial" w:hAnsi="Arial" w:cs="Arial"/>
          <w:i/>
        </w:rPr>
        <w:t>4</w:t>
      </w:r>
      <w:r w:rsidRPr="004849DB">
        <w:rPr>
          <w:rFonts w:ascii="Arial" w:hAnsi="Arial" w:cs="Arial"/>
          <w:i/>
        </w:rPr>
        <w:t>)</w:t>
      </w:r>
    </w:p>
    <w:p w14:paraId="66991D64" w14:textId="77777777" w:rsidR="00EB3F27" w:rsidRPr="006B4A4A" w:rsidRDefault="00EB3F27" w:rsidP="00EB3F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49DB">
        <w:rPr>
          <w:rFonts w:ascii="Arial" w:hAnsi="Arial" w:cs="Arial"/>
        </w:rPr>
        <w:t xml:space="preserve">Boards are required to complete their Allocation application in GFMS and complete all fiscal reporting </w:t>
      </w:r>
      <w:r w:rsidRPr="00686C97">
        <w:rPr>
          <w:rFonts w:ascii="Arial" w:hAnsi="Arial" w:cs="Arial"/>
        </w:rPr>
        <w:t>requirements. Boards are also required to submit their 90% SUD Treatment Capacity Reports each quarter.</w:t>
      </w:r>
    </w:p>
    <w:p w14:paraId="1B096730" w14:textId="7CFE08B0" w:rsidR="00EB3F27" w:rsidRPr="006B4A4A" w:rsidRDefault="007910CC" w:rsidP="00EB3F27">
      <w:pPr>
        <w:pStyle w:val="NoSpacing"/>
        <w:spacing w:after="240"/>
        <w:jc w:val="both"/>
        <w:rPr>
          <w:rFonts w:ascii="Arial" w:hAnsi="Arial" w:cs="Arial"/>
          <w:sz w:val="20"/>
          <w:szCs w:val="20"/>
        </w:rPr>
      </w:pPr>
      <w:r w:rsidRPr="006B4A4A">
        <w:rPr>
          <w:rFonts w:ascii="Arial" w:hAnsi="Arial" w:cs="Arial"/>
          <w:i/>
          <w:sz w:val="20"/>
          <w:szCs w:val="20"/>
        </w:rPr>
        <w:lastRenderedPageBreak/>
        <w:t>(Source:</w:t>
      </w:r>
      <w:r>
        <w:rPr>
          <w:rFonts w:ascii="Arial" w:hAnsi="Arial" w:cs="Arial"/>
          <w:i/>
          <w:sz w:val="20"/>
          <w:szCs w:val="20"/>
        </w:rPr>
        <w:t xml:space="preserve"> Dex Stanger,</w:t>
      </w:r>
      <w:r w:rsidRPr="00526B5A">
        <w:t xml:space="preserve"> </w:t>
      </w:r>
      <w:r w:rsidRPr="00526B5A">
        <w:rPr>
          <w:rFonts w:ascii="Arial" w:hAnsi="Arial" w:cs="Arial"/>
          <w:i/>
          <w:sz w:val="20"/>
          <w:szCs w:val="20"/>
        </w:rPr>
        <w:t xml:space="preserve">OhioMHAS </w:t>
      </w:r>
      <w:r>
        <w:rPr>
          <w:rFonts w:ascii="Arial" w:hAnsi="Arial" w:cs="Arial"/>
          <w:i/>
          <w:sz w:val="20"/>
          <w:szCs w:val="20"/>
        </w:rPr>
        <w:t>Chief Fiscal Officer</w:t>
      </w:r>
      <w:r w:rsidRPr="00526B5A">
        <w:rPr>
          <w:rFonts w:ascii="Arial" w:hAnsi="Arial" w:cs="Arial"/>
          <w:i/>
          <w:sz w:val="20"/>
          <w:szCs w:val="20"/>
        </w:rPr>
        <w:t>, January 20, 2025)</w:t>
      </w:r>
      <w:r w:rsidRPr="006B4A4A">
        <w:rPr>
          <w:rFonts w:ascii="Arial" w:hAnsi="Arial" w:cs="Arial"/>
          <w:i/>
          <w:sz w:val="20"/>
          <w:szCs w:val="20"/>
        </w:rPr>
        <w:t xml:space="preserve"> </w:t>
      </w:r>
    </w:p>
    <w:p w14:paraId="52C85874" w14:textId="77777777" w:rsidR="00EB3F27" w:rsidRPr="00686C97" w:rsidRDefault="00EB3F27" w:rsidP="00EB3F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49DB">
        <w:rPr>
          <w:rFonts w:ascii="Arial" w:hAnsi="Arial" w:cs="Arial"/>
        </w:rPr>
        <w:t xml:space="preserve">90 Percent of Capacity [45 CFR 96.126]. The SUB-AWARDEE shall ensure that each individual who requests and is in need of treatment for intravenous drug abuse is admitted to a program of such treatment not later than - (A) 14 days after making the request for admission to such a program; or (B) 120 days after the date of such request, if no such program has the capacity to admit the individual on the date of such request and if interim services are made available to the individual not later than 48 hours after such </w:t>
      </w:r>
      <w:r w:rsidRPr="00686C97">
        <w:rPr>
          <w:rFonts w:ascii="Arial" w:hAnsi="Arial" w:cs="Arial"/>
        </w:rPr>
        <w:t xml:space="preserve">request. The SUB-AWARDEE must submit quarterly to the Department’s Division of Treatment and Recovery Services a listing of providers that reach 90 percent of capacity. IN THE EVENT THAT NO PROVIDERS REACH 90 PERCENT OF CAPACITY, THE SUB-AWARDEE MUST SUBMIT THE QUARTERLY REPORTING INDICATING SUCH. </w:t>
      </w:r>
    </w:p>
    <w:p w14:paraId="6AF646EF" w14:textId="77777777" w:rsidR="00EB3F27" w:rsidRPr="00686C97" w:rsidRDefault="00EB3F27" w:rsidP="00EB3F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86C97">
        <w:rPr>
          <w:rFonts w:ascii="Arial" w:hAnsi="Arial" w:cs="Arial"/>
        </w:rPr>
        <w:t xml:space="preserve">Quarterly reports shall be submitted to DEPARTMENT on the following dates: </w:t>
      </w:r>
    </w:p>
    <w:p w14:paraId="050C3524" w14:textId="77777777" w:rsidR="00EB3F27" w:rsidRPr="00686C97" w:rsidRDefault="00EB3F27" w:rsidP="00EB3F27">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686C97">
        <w:rPr>
          <w:rFonts w:ascii="Arial" w:hAnsi="Arial" w:cs="Arial"/>
        </w:rPr>
        <w:t xml:space="preserve">January 31 </w:t>
      </w:r>
    </w:p>
    <w:p w14:paraId="405F525C" w14:textId="77777777" w:rsidR="00EB3F27" w:rsidRPr="00686C97" w:rsidRDefault="00EB3F27" w:rsidP="00EB3F27">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686C97">
        <w:rPr>
          <w:rFonts w:ascii="Arial" w:hAnsi="Arial" w:cs="Arial"/>
        </w:rPr>
        <w:t xml:space="preserve">April 30 </w:t>
      </w:r>
    </w:p>
    <w:p w14:paraId="23E77AAD" w14:textId="77777777" w:rsidR="00EB3F27" w:rsidRPr="004849DB" w:rsidRDefault="00EB3F27" w:rsidP="00EB3F27">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686C97">
        <w:rPr>
          <w:rFonts w:ascii="Arial" w:hAnsi="Arial" w:cs="Arial"/>
        </w:rPr>
        <w:t>July 31</w:t>
      </w:r>
      <w:r w:rsidRPr="004849DB">
        <w:rPr>
          <w:rFonts w:ascii="Arial" w:hAnsi="Arial" w:cs="Arial"/>
        </w:rPr>
        <w:t xml:space="preserve"> </w:t>
      </w:r>
    </w:p>
    <w:p w14:paraId="0259FDDE" w14:textId="77777777" w:rsidR="00EB3F27" w:rsidRPr="004849DB" w:rsidRDefault="00EB3F27" w:rsidP="00EB3F27">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4849DB">
        <w:rPr>
          <w:rFonts w:ascii="Arial" w:hAnsi="Arial" w:cs="Arial"/>
        </w:rPr>
        <w:t>October 31</w:t>
      </w:r>
    </w:p>
    <w:p w14:paraId="57A3CA35" w14:textId="77777777" w:rsidR="00EB3F27" w:rsidRPr="004849DB" w:rsidRDefault="00EB3F27" w:rsidP="00EB3F27">
      <w:pPr>
        <w:autoSpaceDE w:val="0"/>
        <w:autoSpaceDN w:val="0"/>
        <w:adjustRightInd w:val="0"/>
        <w:spacing w:after="240"/>
        <w:jc w:val="both"/>
        <w:rPr>
          <w:rFonts w:ascii="Arial" w:hAnsi="Arial" w:cs="Arial"/>
          <w:color w:val="000000"/>
        </w:rPr>
      </w:pPr>
      <w:r w:rsidRPr="004849DB">
        <w:rPr>
          <w:rFonts w:ascii="Arial" w:hAnsi="Arial" w:cs="Arial"/>
          <w:color w:val="000000"/>
        </w:rPr>
        <w:t xml:space="preserve">Tuberculosis Services [45 CFR 96.127]. The SUB-AWARDEE shall ensure that agencies receiving </w:t>
      </w:r>
      <w:r>
        <w:rPr>
          <w:rFonts w:ascii="Arial" w:hAnsi="Arial" w:cs="Arial"/>
          <w:color w:val="000000"/>
        </w:rPr>
        <w:t>SUPTRS</w:t>
      </w:r>
      <w:r w:rsidRPr="004849DB">
        <w:rPr>
          <w:rFonts w:ascii="Arial" w:hAnsi="Arial" w:cs="Arial"/>
          <w:color w:val="000000"/>
        </w:rPr>
        <w:t xml:space="preserve"> Block Grant funds for operating a program of substance abuse treatment (A) will, directly or through arrangements with other public or nonprofit private entities, routinely make available tuberculosis services to each individual receiving treatment for such abuse; and (B) in the case of an individual in need of such treatment who is denied admission to a program on the basis of lack of the capacity of the program to admit the individual, will refer the individual to another provider of tuberculosis services [45 CFR 96.127]. </w:t>
      </w:r>
    </w:p>
    <w:p w14:paraId="41912573" w14:textId="77777777" w:rsidR="00EB3F27" w:rsidRPr="006B4A4A" w:rsidRDefault="00EB3F27" w:rsidP="00EB3F2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49DB">
        <w:rPr>
          <w:rFonts w:ascii="Arial" w:hAnsi="Arial" w:cs="Arial"/>
          <w:color w:val="000000"/>
        </w:rPr>
        <w:t xml:space="preserve">SUB-AWARDEE will provide to the DEPARTMENT by JULY 31 of each year a report on 1) The number of clients receiving treatment for tuberculosis in the previous fiscal year ending JUNE 30 and 2) The amount of public non-federal dollars expended for tuberculosis treatment including dollars spent by the Board of County Commissioners or county executives and county councils established pursuant to O.R.C. 339.75. Funds spent for tuberculosis </w:t>
      </w:r>
      <w:r w:rsidRPr="006B4A4A">
        <w:rPr>
          <w:rFonts w:ascii="Arial" w:hAnsi="Arial" w:cs="Arial"/>
          <w:color w:val="000000"/>
        </w:rPr>
        <w:t>treatment are not limited to those receiving services for substance abuse treatment but include public non-federal funds for all patients receiving tuberculosis treatment.</w:t>
      </w:r>
    </w:p>
    <w:p w14:paraId="616CC565" w14:textId="5BE6C630" w:rsidR="00EB3F27" w:rsidRPr="00EB3F27" w:rsidRDefault="00EB3F27" w:rsidP="00CD5DC7">
      <w:pPr>
        <w:spacing w:after="240"/>
        <w:jc w:val="both"/>
        <w:rPr>
          <w:rFonts w:ascii="Arial" w:hAnsi="Arial" w:cs="Arial"/>
        </w:rPr>
      </w:pPr>
      <w:r w:rsidRPr="006B4A4A">
        <w:rPr>
          <w:rFonts w:ascii="Arial" w:hAnsi="Arial" w:cs="Arial"/>
          <w:i/>
        </w:rPr>
        <w:t xml:space="preserve">(Source: </w:t>
      </w:r>
      <w:hyperlink r:id="rId63" w:history="1">
        <w:r w:rsidRPr="006B4A4A">
          <w:rPr>
            <w:rStyle w:val="Hyperlink"/>
            <w:rFonts w:cs="Arial"/>
            <w:i/>
          </w:rPr>
          <w:t>2024 OhioMHAS Agreement and Assurances</w:t>
        </w:r>
      </w:hyperlink>
      <w:r w:rsidRPr="006B4A4A">
        <w:rPr>
          <w:rStyle w:val="Hyperlink"/>
          <w:rFonts w:cs="Arial"/>
          <w:i/>
          <w:color w:val="auto"/>
          <w:u w:val="none"/>
        </w:rPr>
        <w:t>)</w:t>
      </w:r>
    </w:p>
    <w:p w14:paraId="3289C082" w14:textId="77777777" w:rsidR="00F87F25" w:rsidRPr="000706D1" w:rsidRDefault="00A55B64" w:rsidP="006672EA">
      <w:pPr>
        <w:pStyle w:val="Heading3"/>
        <w:jc w:val="both"/>
        <w:rPr>
          <w:rFonts w:cs="Arial"/>
          <w:bCs/>
          <w:sz w:val="24"/>
          <w:szCs w:val="24"/>
        </w:rPr>
      </w:pPr>
      <w:bookmarkStart w:id="84" w:name="_Toc188510313"/>
      <w:r w:rsidRPr="000706D1">
        <w:rPr>
          <w:rFonts w:cs="Arial"/>
          <w:sz w:val="24"/>
          <w:szCs w:val="24"/>
        </w:rPr>
        <w:t>Audit Objectives</w:t>
      </w:r>
      <w:r w:rsidR="00F87F25" w:rsidRPr="000706D1">
        <w:rPr>
          <w:rFonts w:cs="Arial"/>
          <w:sz w:val="24"/>
          <w:szCs w:val="24"/>
        </w:rPr>
        <w:t xml:space="preserve"> and Control Testing</w:t>
      </w:r>
      <w:bookmarkEnd w:id="8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5" w:name="_Toc18851031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9509411"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B32774">
              <w:rPr>
                <w:rFonts w:ascii="Arial" w:hAnsi="Arial" w:cs="Arial"/>
                <w:i/>
                <w:sz w:val="20"/>
              </w:rPr>
              <w:t xml:space="preserve"> – </w:t>
            </w:r>
            <w:r w:rsidR="00B32774" w:rsidRPr="00B32774">
              <w:rPr>
                <w:rFonts w:ascii="Arial" w:hAnsi="Arial" w:cs="Arial"/>
                <w:i/>
                <w:color w:val="002060"/>
                <w:sz w:val="20"/>
              </w:rPr>
              <w:t>Not Applicable</w:t>
            </w:r>
          </w:p>
          <w:p w14:paraId="3E3CDF71" w14:textId="32FC58A0"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w:t>
            </w:r>
            <w:r w:rsidR="00B32774">
              <w:rPr>
                <w:rFonts w:ascii="Arial" w:hAnsi="Arial" w:cs="Arial"/>
                <w:i/>
                <w:sz w:val="20"/>
              </w:rPr>
              <w:t xml:space="preserve">– </w:t>
            </w:r>
            <w:r w:rsidR="00B32774" w:rsidRPr="00B32774">
              <w:rPr>
                <w:rFonts w:ascii="Arial" w:hAnsi="Arial" w:cs="Arial"/>
                <w:i/>
                <w:color w:val="002060"/>
                <w:sz w:val="20"/>
              </w:rPr>
              <w:t>Not Applicable</w:t>
            </w:r>
            <w:r w:rsidR="00B32774" w:rsidRPr="007E1821">
              <w:rPr>
                <w:rFonts w:ascii="Arial" w:hAnsi="Arial" w:cs="Arial"/>
                <w:i/>
                <w:iCs/>
                <w:color w:val="002060"/>
                <w:sz w:val="20"/>
              </w:rPr>
              <w:t xml:space="preserve"> </w:t>
            </w:r>
            <w:r w:rsidR="007E1821" w:rsidRPr="007E1821">
              <w:rPr>
                <w:rFonts w:ascii="Arial" w:hAnsi="Arial" w:cs="Arial"/>
                <w:i/>
                <w:iCs/>
                <w:color w:val="002060"/>
                <w:sz w:val="20"/>
              </w:rPr>
              <w:t>(Only applicable for direct recipients</w:t>
            </w:r>
            <w:r w:rsidR="001B3EF7">
              <w:rPr>
                <w:rFonts w:ascii="Arial" w:hAnsi="Arial" w:cs="Arial"/>
                <w:i/>
                <w:iCs/>
                <w:color w:val="002060"/>
                <w:sz w:val="20"/>
              </w:rPr>
              <w:t>)</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6" w:name="_Toc188510315"/>
      <w:r w:rsidRPr="000706D1">
        <w:rPr>
          <w:rFonts w:cs="Arial"/>
          <w:sz w:val="24"/>
          <w:szCs w:val="24"/>
        </w:rPr>
        <w:t>Audit Implications Summary</w:t>
      </w:r>
      <w:bookmarkEnd w:id="8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4C006EDF" w14:textId="75E5F9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6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7" w:name="M___SUBRECIPIENT_MONITORING__"/>
      <w:bookmarkStart w:id="88" w:name="_Toc442267702"/>
      <w:bookmarkStart w:id="89" w:name="_Toc188510316"/>
      <w:bookmarkEnd w:id="87"/>
      <w:r w:rsidRPr="000706D1">
        <w:rPr>
          <w:rFonts w:cs="Arial"/>
          <w:sz w:val="24"/>
        </w:rPr>
        <w:lastRenderedPageBreak/>
        <w:t>M.  SUBRECIPIENT MONITORING</w:t>
      </w:r>
      <w:bookmarkEnd w:id="88"/>
      <w:bookmarkEnd w:id="89"/>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90" w:name="_Toc188510317"/>
      <w:r w:rsidRPr="000706D1">
        <w:rPr>
          <w:rFonts w:cs="Arial"/>
          <w:sz w:val="24"/>
          <w:szCs w:val="24"/>
        </w:rPr>
        <w:t xml:space="preserve">OMB </w:t>
      </w:r>
      <w:r w:rsidR="00B57D2E" w:rsidRPr="000706D1">
        <w:rPr>
          <w:rFonts w:cs="Arial"/>
          <w:sz w:val="24"/>
          <w:szCs w:val="24"/>
        </w:rPr>
        <w:t>Compliance Requirements</w:t>
      </w:r>
      <w:bookmarkEnd w:id="9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t>
      </w:r>
      <w:proofErr w:type="gramStart"/>
      <w:r w:rsidRPr="00F00D94">
        <w:rPr>
          <w:rFonts w:ascii="Arial" w:hAnsi="Arial" w:cs="Arial"/>
        </w:rPr>
        <w:t xml:space="preserve">whether or </w:t>
      </w:r>
      <w:r w:rsidR="0005172C" w:rsidRPr="00F00D94">
        <w:rPr>
          <w:rFonts w:ascii="Arial" w:hAnsi="Arial" w:cs="Arial"/>
        </w:rPr>
        <w:t>not</w:t>
      </w:r>
      <w:proofErr w:type="gramEnd"/>
      <w:r w:rsidR="0005172C" w:rsidRPr="00F00D94">
        <w:rPr>
          <w:rFonts w:ascii="Arial" w:hAnsi="Arial" w:cs="Arial"/>
        </w:rPr>
        <w:t xml:space="preserve">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B203D7A" w14:textId="110E1A5D" w:rsidR="00B32774" w:rsidRPr="00B32774" w:rsidRDefault="00B32774" w:rsidP="00D74E6A">
      <w:pPr>
        <w:spacing w:after="240"/>
        <w:jc w:val="both"/>
        <w:rPr>
          <w:rFonts w:ascii="Arial" w:hAnsi="Arial" w:cs="Arial"/>
          <w:bCs/>
          <w:iCs/>
        </w:rPr>
      </w:pPr>
      <w:r w:rsidRPr="00B32774">
        <w:rPr>
          <w:rFonts w:ascii="Arial" w:hAnsi="Arial" w:cs="Arial"/>
          <w:bCs/>
          <w:iCs/>
        </w:rPr>
        <w:t>The state or pass-through entity must conduct monitoring activities per sections 75.351 through 75.353 of Subpart D of 45 CFR 75.</w:t>
      </w:r>
    </w:p>
    <w:p w14:paraId="7FD2442A" w14:textId="1EBB54AA" w:rsidR="00B32774" w:rsidRPr="004A0AB6" w:rsidRDefault="00B32774" w:rsidP="00D74E6A">
      <w:pPr>
        <w:spacing w:after="240"/>
        <w:jc w:val="both"/>
        <w:rPr>
          <w:rFonts w:ascii="Arial" w:hAnsi="Arial" w:cs="Arial"/>
          <w:b/>
          <w:highlight w:val="yellow"/>
        </w:rPr>
      </w:pPr>
      <w:r>
        <w:rPr>
          <w:rFonts w:ascii="Arial" w:hAnsi="Arial" w:cs="Arial"/>
          <w:bCs/>
          <w:i/>
        </w:rPr>
        <w:t>(Source: 202</w:t>
      </w:r>
      <w:r w:rsidR="00803582">
        <w:rPr>
          <w:rFonts w:ascii="Arial" w:hAnsi="Arial" w:cs="Arial"/>
          <w:bCs/>
          <w:i/>
        </w:rPr>
        <w:t>4</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 xml:space="preserve">Substance </w:t>
      </w:r>
      <w:r w:rsidR="00C344C1">
        <w:rPr>
          <w:rFonts w:ascii="Arial" w:hAnsi="Arial" w:cs="Arial"/>
          <w:bCs/>
          <w:i/>
        </w:rPr>
        <w:t>Use</w:t>
      </w:r>
      <w:r>
        <w:rPr>
          <w:rFonts w:ascii="Arial" w:hAnsi="Arial" w:cs="Arial"/>
          <w:bCs/>
          <w:i/>
        </w:rPr>
        <w:t xml:space="preserve"> </w:t>
      </w:r>
      <w:r w:rsidRPr="00064B66">
        <w:rPr>
          <w:rFonts w:ascii="Arial" w:hAnsi="Arial" w:cs="Arial"/>
          <w:bCs/>
          <w:i/>
        </w:rPr>
        <w:t>Prevention</w:t>
      </w:r>
      <w:r>
        <w:rPr>
          <w:rFonts w:ascii="Arial" w:hAnsi="Arial" w:cs="Arial"/>
          <w:bCs/>
          <w:i/>
        </w:rPr>
        <w:t>,</w:t>
      </w:r>
      <w:r w:rsidRPr="00064B66">
        <w:rPr>
          <w:rFonts w:ascii="Arial" w:hAnsi="Arial" w:cs="Arial"/>
          <w:bCs/>
          <w:i/>
        </w:rPr>
        <w:t xml:space="preserve"> </w:t>
      </w:r>
      <w:r>
        <w:rPr>
          <w:rFonts w:ascii="Arial" w:hAnsi="Arial" w:cs="Arial"/>
          <w:bCs/>
          <w:i/>
        </w:rPr>
        <w:t>Treatment, and Recovery Services</w:t>
      </w:r>
      <w:r w:rsidRPr="00064B66">
        <w:rPr>
          <w:rFonts w:ascii="Arial" w:hAnsi="Arial" w:cs="Arial"/>
          <w:bCs/>
          <w:i/>
        </w:rPr>
        <w:t>)</w:t>
      </w:r>
    </w:p>
    <w:p w14:paraId="3DCB2EC4" w14:textId="77777777" w:rsidR="00B30107" w:rsidRPr="000706D1" w:rsidRDefault="00B30107" w:rsidP="006672EA">
      <w:pPr>
        <w:pStyle w:val="Heading3"/>
        <w:jc w:val="both"/>
        <w:rPr>
          <w:rFonts w:cs="Arial"/>
          <w:sz w:val="24"/>
          <w:szCs w:val="24"/>
        </w:rPr>
      </w:pPr>
      <w:bookmarkStart w:id="91" w:name="_Toc188510318"/>
      <w:r w:rsidRPr="000706D1">
        <w:rPr>
          <w:rFonts w:cs="Arial"/>
          <w:sz w:val="24"/>
          <w:szCs w:val="24"/>
        </w:rPr>
        <w:t>Additional Program Specific Information</w:t>
      </w:r>
      <w:bookmarkEnd w:id="9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1DEAE2F4"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910CC">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8705EA7" w14:textId="77777777" w:rsidR="00EB3F27" w:rsidRDefault="00EB3F27" w:rsidP="00EB3F27">
      <w:pPr>
        <w:spacing w:after="240"/>
        <w:jc w:val="both"/>
        <w:rPr>
          <w:rFonts w:ascii="Arial" w:hAnsi="Arial" w:cs="Arial"/>
          <w:b/>
          <w:i/>
          <w:u w:val="single"/>
        </w:rPr>
      </w:pPr>
      <w:r w:rsidRPr="00F822BB">
        <w:rPr>
          <w:rFonts w:ascii="Arial" w:hAnsi="Arial" w:cs="Arial"/>
          <w:b/>
          <w:i/>
          <w:u w:val="single"/>
        </w:rPr>
        <w:t>OhioMHAS:</w:t>
      </w:r>
    </w:p>
    <w:p w14:paraId="69EC14AB" w14:textId="77777777" w:rsidR="00EB3F27" w:rsidRPr="00C029BB" w:rsidRDefault="00EB3F27" w:rsidP="00EB3F27">
      <w:pPr>
        <w:spacing w:after="240"/>
        <w:jc w:val="both"/>
        <w:rPr>
          <w:rFonts w:ascii="Arial" w:hAnsi="Arial" w:cs="Arial"/>
        </w:rPr>
      </w:pPr>
      <w:r w:rsidRPr="00C029BB">
        <w:rPr>
          <w:rFonts w:ascii="Arial" w:hAnsi="Arial" w:cs="Arial"/>
        </w:rPr>
        <w:t xml:space="preserve">The Department performs Subrecipient Monitoring as required per 2 CFR, Part 200, Subpart D, utilizing the following monitoring tools: </w:t>
      </w:r>
    </w:p>
    <w:p w14:paraId="20E1C275" w14:textId="77777777" w:rsidR="00EB3F27" w:rsidRPr="00C029BB" w:rsidRDefault="00EB3F27" w:rsidP="00EB3F27">
      <w:pPr>
        <w:pStyle w:val="ListParagraph"/>
        <w:numPr>
          <w:ilvl w:val="0"/>
          <w:numId w:val="63"/>
        </w:numPr>
        <w:spacing w:after="240"/>
        <w:jc w:val="both"/>
        <w:rPr>
          <w:rFonts w:ascii="Arial" w:hAnsi="Arial" w:cs="Arial"/>
        </w:rPr>
      </w:pPr>
      <w:r w:rsidRPr="00C029BB">
        <w:rPr>
          <w:rFonts w:ascii="Arial" w:hAnsi="Arial" w:cs="Arial"/>
        </w:rPr>
        <w:t>Annual Board Questionnaires</w:t>
      </w:r>
    </w:p>
    <w:p w14:paraId="0FEDD048" w14:textId="77777777" w:rsidR="00EB3F27" w:rsidRPr="00C029BB" w:rsidRDefault="00EB3F27" w:rsidP="00EB3F27">
      <w:pPr>
        <w:pStyle w:val="ListParagraph"/>
        <w:numPr>
          <w:ilvl w:val="0"/>
          <w:numId w:val="63"/>
        </w:numPr>
        <w:spacing w:after="240"/>
        <w:jc w:val="both"/>
        <w:rPr>
          <w:rFonts w:ascii="Arial" w:hAnsi="Arial" w:cs="Arial"/>
        </w:rPr>
      </w:pPr>
      <w:r w:rsidRPr="00C029BB">
        <w:rPr>
          <w:rFonts w:ascii="Arial" w:hAnsi="Arial" w:cs="Arial"/>
        </w:rPr>
        <w:t>Risk assessment</w:t>
      </w:r>
    </w:p>
    <w:p w14:paraId="315C2277" w14:textId="77777777" w:rsidR="00EB3F27" w:rsidRPr="00C029BB" w:rsidRDefault="00EB3F27" w:rsidP="00EB3F27">
      <w:pPr>
        <w:pStyle w:val="ListParagraph"/>
        <w:numPr>
          <w:ilvl w:val="0"/>
          <w:numId w:val="63"/>
        </w:numPr>
        <w:spacing w:after="240"/>
        <w:jc w:val="both"/>
        <w:rPr>
          <w:rFonts w:ascii="Arial" w:hAnsi="Arial" w:cs="Arial"/>
        </w:rPr>
      </w:pPr>
      <w:r w:rsidRPr="00C029BB">
        <w:rPr>
          <w:rFonts w:ascii="Arial" w:hAnsi="Arial" w:cs="Arial"/>
        </w:rPr>
        <w:t>Board Assistance Reviews (formerly known as Stakeholder Assistance Reviews)</w:t>
      </w:r>
    </w:p>
    <w:p w14:paraId="36A2ED92" w14:textId="77777777" w:rsidR="00EB3F27" w:rsidRPr="00C029BB" w:rsidRDefault="00EB3F27" w:rsidP="00EB3F27">
      <w:pPr>
        <w:pStyle w:val="ListParagraph"/>
        <w:numPr>
          <w:ilvl w:val="0"/>
          <w:numId w:val="63"/>
        </w:numPr>
        <w:spacing w:after="240"/>
        <w:jc w:val="both"/>
        <w:rPr>
          <w:rFonts w:ascii="Arial" w:hAnsi="Arial" w:cs="Arial"/>
        </w:rPr>
      </w:pPr>
      <w:r w:rsidRPr="00C029BB">
        <w:rPr>
          <w:rFonts w:ascii="Arial" w:hAnsi="Arial" w:cs="Arial"/>
        </w:rPr>
        <w:t>Single Audit Desk Reviews</w:t>
      </w:r>
    </w:p>
    <w:p w14:paraId="2380D8AD" w14:textId="77777777" w:rsidR="00EB3F27" w:rsidRPr="00C029BB" w:rsidRDefault="00EB3F27" w:rsidP="00EB3F27">
      <w:pPr>
        <w:pStyle w:val="ListParagraph"/>
        <w:numPr>
          <w:ilvl w:val="0"/>
          <w:numId w:val="63"/>
        </w:numPr>
        <w:spacing w:after="240"/>
        <w:jc w:val="both"/>
        <w:rPr>
          <w:rFonts w:ascii="Arial" w:hAnsi="Arial" w:cs="Arial"/>
        </w:rPr>
      </w:pPr>
      <w:r w:rsidRPr="00C029BB">
        <w:rPr>
          <w:rFonts w:ascii="Arial" w:hAnsi="Arial" w:cs="Arial"/>
        </w:rPr>
        <w:t>Provider Audit Desk Reviews of Board subawardees</w:t>
      </w:r>
    </w:p>
    <w:p w14:paraId="21052823" w14:textId="77777777" w:rsidR="00EB3F27" w:rsidRPr="006B4A4A" w:rsidRDefault="00EB3F27" w:rsidP="00EB3F27">
      <w:pPr>
        <w:spacing w:after="240"/>
        <w:jc w:val="both"/>
        <w:rPr>
          <w:rFonts w:ascii="Arial" w:hAnsi="Arial" w:cs="Arial"/>
        </w:rPr>
      </w:pPr>
      <w:r w:rsidRPr="00C029BB">
        <w:rPr>
          <w:rFonts w:ascii="Arial" w:hAnsi="Arial" w:cs="Arial"/>
        </w:rPr>
        <w:t xml:space="preserve">The Board Assistance Review (BAR) involves review of the 50 ADAMHS boards on a three-year review cycle and includes procedures that examine internal controls, compliance, grant requirements, and/or financial reporting that follows prescribed audit programs. </w:t>
      </w:r>
    </w:p>
    <w:p w14:paraId="4084C5D5" w14:textId="143D163C" w:rsidR="00EB3F27" w:rsidRPr="00EB3F27" w:rsidRDefault="00EB3F27" w:rsidP="00CD5DC7">
      <w:pPr>
        <w:spacing w:after="240"/>
        <w:jc w:val="both"/>
        <w:rPr>
          <w:rFonts w:ascii="Arial" w:hAnsi="Arial" w:cs="Arial"/>
          <w:i/>
        </w:rPr>
      </w:pPr>
      <w:r w:rsidRPr="006B4A4A">
        <w:rPr>
          <w:rFonts w:ascii="Arial" w:hAnsi="Arial" w:cs="Arial"/>
          <w:i/>
        </w:rPr>
        <w:t xml:space="preserve">(Source:  </w:t>
      </w:r>
      <w:bookmarkStart w:id="92" w:name="_Hlk153290804"/>
      <w:r w:rsidRPr="006B4A4A">
        <w:rPr>
          <w:rFonts w:ascii="Arial" w:hAnsi="Arial" w:cs="Arial"/>
          <w:i/>
        </w:rPr>
        <w:t>Mei King, OhioMHAS</w:t>
      </w:r>
      <w:r w:rsidR="007910CC">
        <w:rPr>
          <w:rFonts w:ascii="Arial" w:hAnsi="Arial" w:cs="Arial"/>
          <w:i/>
        </w:rPr>
        <w:t>,</w:t>
      </w:r>
      <w:r w:rsidRPr="006B4A4A">
        <w:rPr>
          <w:rFonts w:ascii="Arial" w:hAnsi="Arial" w:cs="Arial"/>
          <w:i/>
        </w:rPr>
        <w:t xml:space="preserve"> </w:t>
      </w:r>
      <w:bookmarkEnd w:id="92"/>
      <w:r w:rsidR="007910CC">
        <w:rPr>
          <w:rFonts w:ascii="Arial" w:hAnsi="Arial" w:cs="Arial"/>
          <w:i/>
        </w:rPr>
        <w:t>January 13, 2</w:t>
      </w:r>
      <w:r>
        <w:rPr>
          <w:rFonts w:ascii="Arial" w:hAnsi="Arial" w:cs="Arial"/>
          <w:i/>
        </w:rPr>
        <w:t>025</w:t>
      </w:r>
      <w:r w:rsidRPr="006B4A4A">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93" w:name="_Toc188510319"/>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93"/>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94" w:name="_Toc18851032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4"/>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95" w:name="_Toc188510321"/>
      <w:r w:rsidRPr="000706D1">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D8E7A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6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6" w:name="_Toc442267704"/>
      <w:bookmarkStart w:id="97" w:name="_Toc188510322"/>
      <w:r w:rsidRPr="000706D1">
        <w:rPr>
          <w:rStyle w:val="PageNumber"/>
          <w:rFonts w:cs="Arial"/>
          <w:sz w:val="24"/>
        </w:rPr>
        <w:lastRenderedPageBreak/>
        <w:t>Program Testing Conclusion</w:t>
      </w:r>
      <w:bookmarkEnd w:id="96"/>
      <w:bookmarkEnd w:id="9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6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68" tgtFrame="&quot;content&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2140E32" w:rsidR="00FA3EC3" w:rsidRPr="00F00D94" w:rsidRDefault="00FA3EC3" w:rsidP="006672EA">
      <w:pPr>
        <w:spacing w:after="240"/>
        <w:jc w:val="both"/>
        <w:rPr>
          <w:rFonts w:ascii="Arial" w:hAnsi="Arial" w:cs="Arial"/>
        </w:rPr>
      </w:pPr>
      <w:hyperlink r:id="rId7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1B7FF9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8" w:name="AICPAIGS:767.2670-1"/>
      <w:bookmarkEnd w:id="9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1DF55BD7"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4E3890">
      <w:rPr>
        <w:sz w:val="18"/>
      </w:rPr>
      <w:t xml:space="preserve">FACCR #93.959 </w:t>
    </w:r>
    <w:r w:rsidR="00972EE7" w:rsidRPr="00972EE7">
      <w:rPr>
        <w:sz w:val="18"/>
      </w:rPr>
      <w:t xml:space="preserve">Block Grants for Substance </w:t>
    </w:r>
    <w:r w:rsidR="00C344C1">
      <w:rPr>
        <w:sz w:val="18"/>
      </w:rPr>
      <w:t>Use</w:t>
    </w:r>
    <w:r w:rsidR="00972EE7" w:rsidRPr="00972EE7">
      <w:rPr>
        <w:sz w:val="18"/>
      </w:rPr>
      <w:t xml:space="preserve"> Prevention, Treatment, and Recovery</w:t>
    </w:r>
    <w:r w:rsidR="00C344C1">
      <w:rPr>
        <w:sz w:val="18"/>
      </w:rPr>
      <w:t xml:space="preserve"> Services</w:t>
    </w:r>
    <w:r w:rsidR="00972EE7" w:rsidRPr="00972EE7">
      <w:rPr>
        <w:sz w:val="18"/>
      </w:rPr>
      <w:t xml:space="preserve"> </w:t>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643E3"/>
    <w:multiLevelType w:val="hybridMultilevel"/>
    <w:tmpl w:val="898E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5"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3"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0"/>
  </w:num>
  <w:num w:numId="3" w16cid:durableId="845168209">
    <w:abstractNumId w:val="21"/>
  </w:num>
  <w:num w:numId="4" w16cid:durableId="495266702">
    <w:abstractNumId w:val="29"/>
  </w:num>
  <w:num w:numId="5" w16cid:durableId="1496074526">
    <w:abstractNumId w:val="52"/>
  </w:num>
  <w:num w:numId="6" w16cid:durableId="1894850701">
    <w:abstractNumId w:val="27"/>
  </w:num>
  <w:num w:numId="7" w16cid:durableId="1851287688">
    <w:abstractNumId w:val="61"/>
  </w:num>
  <w:num w:numId="8" w16cid:durableId="169563015">
    <w:abstractNumId w:val="49"/>
  </w:num>
  <w:num w:numId="9" w16cid:durableId="829565744">
    <w:abstractNumId w:val="16"/>
  </w:num>
  <w:num w:numId="10" w16cid:durableId="1649020827">
    <w:abstractNumId w:val="3"/>
  </w:num>
  <w:num w:numId="11" w16cid:durableId="404687173">
    <w:abstractNumId w:val="13"/>
  </w:num>
  <w:num w:numId="12" w16cid:durableId="812450053">
    <w:abstractNumId w:val="58"/>
  </w:num>
  <w:num w:numId="13" w16cid:durableId="208225967">
    <w:abstractNumId w:val="42"/>
  </w:num>
  <w:num w:numId="14" w16cid:durableId="1448885931">
    <w:abstractNumId w:val="37"/>
  </w:num>
  <w:num w:numId="15" w16cid:durableId="652417121">
    <w:abstractNumId w:val="46"/>
  </w:num>
  <w:num w:numId="16" w16cid:durableId="1348169212">
    <w:abstractNumId w:val="34"/>
  </w:num>
  <w:num w:numId="17" w16cid:durableId="1730111816">
    <w:abstractNumId w:val="54"/>
  </w:num>
  <w:num w:numId="18" w16cid:durableId="1262647388">
    <w:abstractNumId w:val="26"/>
  </w:num>
  <w:num w:numId="19" w16cid:durableId="917205237">
    <w:abstractNumId w:val="41"/>
  </w:num>
  <w:num w:numId="20" w16cid:durableId="1467968856">
    <w:abstractNumId w:val="59"/>
  </w:num>
  <w:num w:numId="21" w16cid:durableId="1337074581">
    <w:abstractNumId w:val="57"/>
  </w:num>
  <w:num w:numId="22" w16cid:durableId="1028799297">
    <w:abstractNumId w:val="18"/>
  </w:num>
  <w:num w:numId="23" w16cid:durableId="1386678689">
    <w:abstractNumId w:val="9"/>
  </w:num>
  <w:num w:numId="24" w16cid:durableId="505556187">
    <w:abstractNumId w:val="50"/>
  </w:num>
  <w:num w:numId="25" w16cid:durableId="1151486989">
    <w:abstractNumId w:val="17"/>
  </w:num>
  <w:num w:numId="26" w16cid:durableId="431709311">
    <w:abstractNumId w:val="30"/>
  </w:num>
  <w:num w:numId="27" w16cid:durableId="13729245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3"/>
  </w:num>
  <w:num w:numId="30" w16cid:durableId="1726903200">
    <w:abstractNumId w:val="11"/>
  </w:num>
  <w:num w:numId="31" w16cid:durableId="884410781">
    <w:abstractNumId w:val="6"/>
  </w:num>
  <w:num w:numId="32" w16cid:durableId="810370577">
    <w:abstractNumId w:val="38"/>
  </w:num>
  <w:num w:numId="33" w16cid:durableId="1178009640">
    <w:abstractNumId w:val="2"/>
  </w:num>
  <w:num w:numId="34" w16cid:durableId="1151754974">
    <w:abstractNumId w:val="62"/>
  </w:num>
  <w:num w:numId="35" w16cid:durableId="554588920">
    <w:abstractNumId w:val="53"/>
  </w:num>
  <w:num w:numId="36" w16cid:durableId="2056466201">
    <w:abstractNumId w:val="19"/>
  </w:num>
  <w:num w:numId="37" w16cid:durableId="81878645">
    <w:abstractNumId w:val="31"/>
  </w:num>
  <w:num w:numId="38" w16cid:durableId="754401759">
    <w:abstractNumId w:val="33"/>
  </w:num>
  <w:num w:numId="39" w16cid:durableId="697851989">
    <w:abstractNumId w:val="55"/>
  </w:num>
  <w:num w:numId="40" w16cid:durableId="368649401">
    <w:abstractNumId w:val="1"/>
  </w:num>
  <w:num w:numId="41" w16cid:durableId="1478910963">
    <w:abstractNumId w:val="56"/>
  </w:num>
  <w:num w:numId="42" w16cid:durableId="1939830332">
    <w:abstractNumId w:val="12"/>
  </w:num>
  <w:num w:numId="43" w16cid:durableId="516505364">
    <w:abstractNumId w:val="44"/>
  </w:num>
  <w:num w:numId="44" w16cid:durableId="710107432">
    <w:abstractNumId w:val="35"/>
  </w:num>
  <w:num w:numId="45" w16cid:durableId="629016447">
    <w:abstractNumId w:val="15"/>
  </w:num>
  <w:num w:numId="46" w16cid:durableId="1352143524">
    <w:abstractNumId w:val="24"/>
  </w:num>
  <w:num w:numId="47" w16cid:durableId="2034109230">
    <w:abstractNumId w:val="36"/>
  </w:num>
  <w:num w:numId="48" w16cid:durableId="752432378">
    <w:abstractNumId w:val="32"/>
  </w:num>
  <w:num w:numId="49" w16cid:durableId="1766726706">
    <w:abstractNumId w:val="10"/>
  </w:num>
  <w:num w:numId="50" w16cid:durableId="848107073">
    <w:abstractNumId w:val="25"/>
  </w:num>
  <w:num w:numId="51" w16cid:durableId="1123234674">
    <w:abstractNumId w:val="4"/>
  </w:num>
  <w:num w:numId="52" w16cid:durableId="1056511850">
    <w:abstractNumId w:val="51"/>
  </w:num>
  <w:num w:numId="53" w16cid:durableId="1317146710">
    <w:abstractNumId w:val="47"/>
  </w:num>
  <w:num w:numId="54" w16cid:durableId="1101756761">
    <w:abstractNumId w:val="39"/>
  </w:num>
  <w:num w:numId="55" w16cid:durableId="1244534831">
    <w:abstractNumId w:val="45"/>
  </w:num>
  <w:num w:numId="56" w16cid:durableId="120655483">
    <w:abstractNumId w:val="23"/>
  </w:num>
  <w:num w:numId="57" w16cid:durableId="894855469">
    <w:abstractNumId w:val="14"/>
  </w:num>
  <w:num w:numId="58" w16cid:durableId="667756309">
    <w:abstractNumId w:val="5"/>
  </w:num>
  <w:num w:numId="59" w16cid:durableId="142236087">
    <w:abstractNumId w:val="28"/>
  </w:num>
  <w:num w:numId="60" w16cid:durableId="2005356031">
    <w:abstractNumId w:val="8"/>
  </w:num>
  <w:num w:numId="61" w16cid:durableId="196281328">
    <w:abstractNumId w:val="48"/>
  </w:num>
  <w:num w:numId="62" w16cid:durableId="867914171">
    <w:abstractNumId w:val="22"/>
  </w:num>
  <w:num w:numId="63" w16cid:durableId="506680536">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B7E76"/>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4C37"/>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3AB8"/>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6277"/>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0529"/>
    <w:rsid w:val="003B1754"/>
    <w:rsid w:val="003B26F4"/>
    <w:rsid w:val="003B36E1"/>
    <w:rsid w:val="003B4698"/>
    <w:rsid w:val="003B4E7D"/>
    <w:rsid w:val="003B578C"/>
    <w:rsid w:val="003B5B02"/>
    <w:rsid w:val="003B5B5E"/>
    <w:rsid w:val="003B7073"/>
    <w:rsid w:val="003B7518"/>
    <w:rsid w:val="003B7DB1"/>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4EC6"/>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88B"/>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69C4"/>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890"/>
    <w:rsid w:val="004E3BB1"/>
    <w:rsid w:val="004E4035"/>
    <w:rsid w:val="004E486F"/>
    <w:rsid w:val="004E493D"/>
    <w:rsid w:val="004E5113"/>
    <w:rsid w:val="004E51AC"/>
    <w:rsid w:val="004E5D88"/>
    <w:rsid w:val="004E73AF"/>
    <w:rsid w:val="004E74AD"/>
    <w:rsid w:val="004F0490"/>
    <w:rsid w:val="004F0BF0"/>
    <w:rsid w:val="004F0F02"/>
    <w:rsid w:val="004F1320"/>
    <w:rsid w:val="004F2947"/>
    <w:rsid w:val="004F2A6F"/>
    <w:rsid w:val="004F49BC"/>
    <w:rsid w:val="004F5A19"/>
    <w:rsid w:val="004F6EEA"/>
    <w:rsid w:val="0050055B"/>
    <w:rsid w:val="00501B7E"/>
    <w:rsid w:val="00503ECB"/>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6B5A"/>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6BEF"/>
    <w:rsid w:val="00587394"/>
    <w:rsid w:val="00590733"/>
    <w:rsid w:val="00590B6A"/>
    <w:rsid w:val="005920D0"/>
    <w:rsid w:val="00592618"/>
    <w:rsid w:val="0059331C"/>
    <w:rsid w:val="00594C70"/>
    <w:rsid w:val="00595782"/>
    <w:rsid w:val="00595F9D"/>
    <w:rsid w:val="005A1BB1"/>
    <w:rsid w:val="005A2C21"/>
    <w:rsid w:val="005A2F49"/>
    <w:rsid w:val="005A37C9"/>
    <w:rsid w:val="005A3CEA"/>
    <w:rsid w:val="005A515B"/>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81F"/>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3CE7"/>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10C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8FD"/>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5E4F"/>
    <w:rsid w:val="007F6210"/>
    <w:rsid w:val="007F6D03"/>
    <w:rsid w:val="00800A74"/>
    <w:rsid w:val="00801448"/>
    <w:rsid w:val="0080147B"/>
    <w:rsid w:val="00801DF9"/>
    <w:rsid w:val="00801FC0"/>
    <w:rsid w:val="008025E5"/>
    <w:rsid w:val="00803582"/>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151E"/>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2EE7"/>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009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774"/>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2C41"/>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44C1"/>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85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09FF"/>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366F"/>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3F27"/>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3C"/>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Agency_Adoption_of_the_UG_and_Example_Citations.pdf" TargetMode="External"/><Relationship Id="rId34" Type="http://schemas.openxmlformats.org/officeDocument/2006/relationships/hyperlink" Target="https://mha.ohio.gov/supporting-providers/apply-for-funding/for-current-awardees/76-fy24-agreements-and-assurances" TargetMode="External"/><Relationship Id="rId42" Type="http://schemas.openxmlformats.org/officeDocument/2006/relationships/hyperlink" Target="45_CFR_Part_75.pdf" TargetMode="External"/><Relationship Id="rId47" Type="http://schemas.openxmlformats.org/officeDocument/2006/relationships/header" Target="header8.xml"/><Relationship Id="rId50" Type="http://schemas.openxmlformats.org/officeDocument/2006/relationships/hyperlink" Target="48_CFR_Part_52.pdf" TargetMode="External"/><Relationship Id="rId55" Type="http://schemas.openxmlformats.org/officeDocument/2006/relationships/hyperlink" Target="48%20CFR%2052.216-7.pdf" TargetMode="External"/><Relationship Id="rId63" Type="http://schemas.openxmlformats.org/officeDocument/2006/relationships/hyperlink" Target="https://mha.ohio.gov/supporting-providers/apply-for-funding/for-current-awardees/76-fy24-agreements-and-assurances" TargetMode="External"/><Relationship Id="rId68" Type="http://schemas.openxmlformats.org/officeDocument/2006/relationships/hyperlink" Target="https://checkpoint.riag.com/app/view/docPermaLink?DocID=iAICPAIGS:767.2440&amp;docTid=T0AICPAIGS:767.2440-1&amp;feature=ttoc&amp;lastCpReqId=97899&amp;tlltype=AICPAIGS:767.2668" TargetMode="Externa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federalregister.gov/documents/2001/11/23/01-29217/community-mental-health-services-and-substance-abuse-prevention-and-treatment-block-grant" TargetMode="External"/><Relationship Id="rId37" Type="http://schemas.openxmlformats.org/officeDocument/2006/relationships/hyperlink" Target="https://mha.ohio.gov/supporting-providers/apply-for-funding/for-current-awardees/76-fy24-agreements-and-assurances" TargetMode="External"/><Relationship Id="rId40"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yperlink" Target="Agency_Adoption_of_the_UG_and_Example_Citations.pdf" TargetMode="External"/><Relationship Id="rId66" Type="http://schemas.openxmlformats.org/officeDocument/2006/relationships/hyperlink" Target="Agency_Adoption_of_the_UG_and_Example_Citations.pdf"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www.ohioauditor.gov/references/practiceaids.html" TargetMode="External"/><Relationship Id="rId49" Type="http://schemas.openxmlformats.org/officeDocument/2006/relationships/hyperlink" Target="48_CFR_Part_52.pdf" TargetMode="External"/><Relationship Id="rId57" Type="http://schemas.openxmlformats.org/officeDocument/2006/relationships/header" Target="header9.xml"/><Relationship Id="rId61" Type="http://schemas.openxmlformats.org/officeDocument/2006/relationships/hyperlink" Target="Agency_Adoption_of_the_UG_and_Example_Citations.pdf" TargetMode="External"/><Relationship Id="rId10" Type="http://schemas.openxmlformats.org/officeDocument/2006/relationships/endnotes" Target="endnotes.xml"/><Relationship Id="rId19" Type="http://schemas.openxmlformats.org/officeDocument/2006/relationships/hyperlink" Target="https://www.cfo.gov/wp-content/uploads/2014/12/Agency-Exceptions.pdf" TargetMode="External"/><Relationship Id="rId31" Type="http://schemas.openxmlformats.org/officeDocument/2006/relationships/hyperlink" Target="https://www.federalregister.gov/citation/66-FR-35658" TargetMode="External"/><Relationship Id="rId44" Type="http://schemas.openxmlformats.org/officeDocument/2006/relationships/hyperlink" Target="https://mha.ohio.gov/supporting-providers/apply-for-funding/for-current-awardees/76-fy24-agreements-and-assurances"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yperlink" Target="https://mha.ohio.gov/supporting-providers/apply-for-funding/for-current-awardees/76-fy24-agreements-and-assurances" TargetMode="External"/><Relationship Id="rId65" Type="http://schemas.openxmlformats.org/officeDocument/2006/relationships/header" Target="header12.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govinfo.gov/content/pkg/USCODE-2010-title42/pdf/USCODE-2010-title42-chap6A-subchapXVII-partB.pdf" TargetMode="External"/><Relationship Id="rId35" Type="http://schemas.openxmlformats.org/officeDocument/2006/relationships/header" Target="header6.xml"/><Relationship Id="rId43" Type="http://schemas.openxmlformats.org/officeDocument/2006/relationships/hyperlink" Target="Selected_Items_of_Cost_Part_3_ComplianceSupplement.pdf" TargetMode="External"/><Relationship Id="rId48" Type="http://schemas.openxmlformats.org/officeDocument/2006/relationships/hyperlink" Target="31_CFR_Part_205.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Agency_Adoption_of_the_UG_and_Example_Citations.pdf" TargetMode="External"/><Relationship Id="rId69" Type="http://schemas.openxmlformats.org/officeDocument/2006/relationships/image" Target="media/image2.gif"/><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hyperlink" Target="Agency_Adoption_of_the_UG_and_Example_Citations.pdf" TargetMode="External"/><Relationship Id="rId46" Type="http://schemas.openxmlformats.org/officeDocument/2006/relationships/hyperlink" Target="Agency_Adoption_of_the_UG_and_Example_Citations.pdf" TargetMode="External"/><Relationship Id="rId59" Type="http://schemas.openxmlformats.org/officeDocument/2006/relationships/header" Target="header10.xml"/><Relationship Id="rId67" Type="http://schemas.openxmlformats.org/officeDocument/2006/relationships/header" Target="header13.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ioauditor.gov/references/practiceaids/faccrs.html" TargetMode="External"/><Relationship Id="rId54" Type="http://schemas.openxmlformats.org/officeDocument/2006/relationships/hyperlink" Target="48_CFR_Part_52.pdf" TargetMode="External"/><Relationship Id="rId62" Type="http://schemas.openxmlformats.org/officeDocument/2006/relationships/header" Target="header11.xml"/><Relationship Id="rId70"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62</Pages>
  <Words>22799</Words>
  <Characters>129958</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152453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28</cp:revision>
  <cp:lastPrinted>2015-07-01T17:39:00Z</cp:lastPrinted>
  <dcterms:created xsi:type="dcterms:W3CDTF">2024-11-21T17:05:00Z</dcterms:created>
  <dcterms:modified xsi:type="dcterms:W3CDTF">2025-01-23T12:44:00Z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