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9FAC" w14:textId="77777777" w:rsidR="00594056" w:rsidRDefault="00594056" w:rsidP="00BA6AE2">
      <w:pPr>
        <w:jc w:val="center"/>
        <w:rPr>
          <w:b/>
          <w:bCs/>
        </w:rPr>
      </w:pPr>
    </w:p>
    <w:p w14:paraId="42E3772E" w14:textId="77777777" w:rsidR="00BA6AE2" w:rsidRDefault="00BA6AE2" w:rsidP="00BA6AE2">
      <w:pPr>
        <w:jc w:val="center"/>
        <w:rPr>
          <w:b/>
          <w:bCs/>
        </w:rPr>
      </w:pPr>
      <w:r>
        <w:rPr>
          <w:b/>
          <w:bCs/>
        </w:rPr>
        <w:t>[</w:t>
      </w:r>
      <w:r w:rsidRPr="00E035E5">
        <w:rPr>
          <w:b/>
          <w:bCs/>
          <w:highlight w:val="lightGray"/>
        </w:rPr>
        <w:t>CLIENT NAME</w:t>
      </w:r>
      <w:r>
        <w:rPr>
          <w:b/>
          <w:bCs/>
        </w:rPr>
        <w:t>]</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sidRPr="00E035E5">
            <w:rPr>
              <w:b/>
              <w:bCs/>
              <w:highlight w:val="lightGray"/>
            </w:rPr>
            <w:t>COUNTY</w:t>
          </w:r>
        </w:smartTag>
        <w:r w:rsidRPr="00E035E5">
          <w:rPr>
            <w:b/>
            <w:bCs/>
            <w:highlight w:val="lightGray"/>
          </w:rPr>
          <w:t xml:space="preserve"> </w:t>
        </w:r>
        <w:smartTag w:uri="urn:schemas-microsoft-com:office:smarttags" w:element="PlaceName">
          <w:r w:rsidRPr="00E035E5">
            <w:rPr>
              <w:b/>
              <w:bCs/>
              <w:highlight w:val="lightGray"/>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w:t>
      </w:r>
      <w:r w:rsidR="00A0188D" w:rsidRPr="00E035E5">
        <w:rPr>
          <w:b/>
          <w:bCs/>
          <w:highlight w:val="lightGray"/>
        </w:rPr>
        <w:t>FYE DATE</w:t>
      </w:r>
      <w:r w:rsidR="00A0188D" w:rsidRPr="006F3C3E">
        <w:rPr>
          <w:b/>
          <w:bCs/>
        </w:rPr>
        <w:t>]</w:t>
      </w:r>
    </w:p>
    <w:p w14:paraId="1B55145C" w14:textId="77777777" w:rsidR="0067733F" w:rsidRPr="006F3C3E" w:rsidRDefault="0067733F" w:rsidP="00BA6AE2">
      <w:pPr>
        <w:jc w:val="center"/>
        <w:rPr>
          <w:b/>
          <w:bCs/>
          <w:color w:val="FF0000"/>
          <w:highlight w:val="yellow"/>
        </w:rPr>
      </w:pPr>
    </w:p>
    <w:p w14:paraId="3CB2245E" w14:textId="250F4411" w:rsidR="00306DCC" w:rsidRPr="00306DCC" w:rsidRDefault="001A665E" w:rsidP="00E035E5">
      <w:pPr>
        <w:jc w:val="center"/>
        <w:rPr>
          <w:b/>
          <w:color w:val="548DD4" w:themeColor="text2" w:themeTint="99"/>
        </w:rPr>
      </w:pPr>
      <w:r>
        <w:rPr>
          <w:b/>
          <w:color w:val="548DD4" w:themeColor="text2" w:themeTint="99"/>
        </w:rPr>
        <w:t>November</w:t>
      </w:r>
      <w:r w:rsidR="00306DCC" w:rsidRPr="00306DCC">
        <w:rPr>
          <w:b/>
          <w:color w:val="548DD4" w:themeColor="text2" w:themeTint="99"/>
        </w:rPr>
        <w:t xml:space="preserve"> 2022</w:t>
      </w:r>
      <w:r w:rsidR="00306DCC" w:rsidRPr="00E035E5">
        <w:rPr>
          <w:rStyle w:val="FootnoteReference"/>
          <w:b/>
          <w:color w:val="548DD4" w:themeColor="text2" w:themeTint="99"/>
        </w:rPr>
        <w:footnoteReference w:id="1"/>
      </w:r>
      <w:bookmarkStart w:id="0" w:name="_GoBack"/>
      <w:bookmarkEnd w:id="0"/>
    </w:p>
    <w:p w14:paraId="34C97A6B" w14:textId="77777777" w:rsidR="00306DCC" w:rsidRDefault="00306DCC" w:rsidP="00E035E5">
      <w:pPr>
        <w:jc w:val="center"/>
        <w:rPr>
          <w:b/>
          <w:color w:val="548DD4" w:themeColor="text2" w:themeTint="99"/>
        </w:rPr>
      </w:pPr>
    </w:p>
    <w:p w14:paraId="0C3ECAE1" w14:textId="3108EFF7" w:rsidR="00BA6AE2" w:rsidRPr="006F3C3E" w:rsidRDefault="00F73003" w:rsidP="00E035E5">
      <w:pPr>
        <w:jc w:val="cente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0B7B">
        <w:rPr>
          <w:b/>
          <w:color w:val="548DD4" w:themeColor="text2" w:themeTint="99"/>
        </w:rPr>
        <w:t xml:space="preserve">AICPA </w:t>
      </w:r>
      <w:r w:rsidRPr="00794736">
        <w:rPr>
          <w:b/>
          <w:i/>
          <w:color w:val="548DD4" w:themeColor="text2" w:themeTint="99"/>
        </w:rPr>
        <w:t>Single Audit</w:t>
      </w:r>
      <w:r w:rsidRPr="00F73003">
        <w:rPr>
          <w:b/>
          <w:color w:val="548DD4" w:themeColor="text2" w:themeTint="99"/>
        </w:rPr>
        <w:t xml:space="preserve"> </w:t>
      </w:r>
      <w:r w:rsidRPr="004A7FB9">
        <w:rPr>
          <w:b/>
          <w:i/>
          <w:color w:val="548DD4" w:themeColor="text2" w:themeTint="99"/>
        </w:rPr>
        <w:t>Guide</w:t>
      </w:r>
      <w:r w:rsidRPr="00F73003">
        <w:rPr>
          <w:b/>
          <w:color w:val="548DD4" w:themeColor="text2" w:themeTint="99"/>
        </w:rPr>
        <w:t xml:space="preserv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352A0169"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E035E5">
        <w:t>[</w:t>
      </w:r>
      <w:r w:rsidR="00743218" w:rsidRPr="00E035E5">
        <w:rPr>
          <w:highlight w:val="lightGray"/>
        </w:rPr>
        <w:t xml:space="preserve">NAME OF </w:t>
      </w:r>
      <w:r w:rsidR="008421EE" w:rsidRPr="00E035E5">
        <w:rPr>
          <w:highlight w:val="lightGray"/>
        </w:rPr>
        <w:t>ENTITY</w:t>
      </w:r>
      <w:r w:rsidR="006F0603" w:rsidRPr="00E035E5">
        <w:t>]</w:t>
      </w:r>
      <w:r w:rsidR="006F0603" w:rsidRPr="006F3C3E">
        <w:t xml:space="preserve"> (the </w:t>
      </w:r>
      <w:r w:rsidR="008421EE">
        <w:rPr>
          <w:highlight w:val="lightGray"/>
        </w:rPr>
        <w:t>Entity</w:t>
      </w:r>
      <w:r w:rsidR="006F0603" w:rsidRPr="006F3C3E">
        <w:t>)</w:t>
      </w:r>
      <w:r w:rsidRPr="006F3C3E">
        <w:t xml:space="preserve"> </w:t>
      </w:r>
      <w:r w:rsidR="006F3C3E">
        <w:t xml:space="preserve">under programs of the federal government for the year ended </w:t>
      </w:r>
      <w:r w:rsidR="006F3C3E" w:rsidRPr="00E035E5">
        <w:t>[</w:t>
      </w:r>
      <w:r w:rsidR="006F3C3E" w:rsidRPr="00E035E5">
        <w:rPr>
          <w:highlight w:val="lightGray"/>
        </w:rPr>
        <w:t>FYE DATE</w:t>
      </w:r>
      <w:r w:rsidR="006F3C3E" w:rsidRPr="00E035E5">
        <w:t>]</w:t>
      </w:r>
      <w:r w:rsidR="006F3C3E" w:rsidRPr="00306DCC">
        <w:t>.</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w:t>
      </w:r>
      <w:r w:rsidR="008421EE">
        <w:rPr>
          <w:highlight w:val="lightGray"/>
        </w:rPr>
        <w:t>Entity</w:t>
      </w:r>
      <w:r w:rsidR="006F3C3E" w:rsidRPr="003974CE">
        <w:t xml:space="preserve">, it is not intended to and does not present the financial position, </w:t>
      </w:r>
      <w:r w:rsidR="006F3C3E" w:rsidRPr="00E9787D">
        <w:t xml:space="preserve">changes in net </w:t>
      </w:r>
      <w:r w:rsidR="003974CE" w:rsidRPr="003974CE">
        <w:t>position</w:t>
      </w:r>
      <w:r w:rsidR="006F3C3E">
        <w:t xml:space="preserve">, or cash flows of the </w:t>
      </w:r>
      <w:r w:rsidR="008421EE">
        <w:rPr>
          <w:highlight w:val="lightGray"/>
        </w:rPr>
        <w:t>Entity</w:t>
      </w:r>
      <w:r w:rsidR="006F3C3E">
        <w:t xml:space="preserve">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w:t>
      </w:r>
      <w:r w:rsidRPr="00AC2161">
        <w:t>res reported on the Schedule are reported on</w:t>
      </w:r>
      <w:r w:rsidR="00FC7B05" w:rsidRPr="00AC2161">
        <w:t xml:space="preserve"> the cash basis</w:t>
      </w:r>
      <w:r w:rsidR="00326282" w:rsidRPr="00AC2161">
        <w:t xml:space="preserve"> </w:t>
      </w:r>
      <w:r w:rsidR="00326282" w:rsidRPr="00AC2161">
        <w:rPr>
          <w:b/>
          <w:bCs/>
          <w:color w:val="4F81BD" w:themeColor="accent1"/>
        </w:rPr>
        <w:t>[1]</w:t>
      </w:r>
      <w:r w:rsidR="00FC7B05" w:rsidRPr="00AC2161">
        <w:t xml:space="preserve"> of accounting.  </w:t>
      </w:r>
      <w:r w:rsidR="00BA6AE2" w:rsidRPr="00E035E5">
        <w:rPr>
          <w:bCs/>
          <w:highlight w:val="lightGray"/>
        </w:rPr>
        <w:t xml:space="preserve">[, except expenditures passed through </w:t>
      </w:r>
      <w:r w:rsidR="002A019C" w:rsidRPr="00E035E5">
        <w:rPr>
          <w:bCs/>
          <w:highlight w:val="lightGray"/>
        </w:rPr>
        <w:t>[list pass-through agency</w:t>
      </w:r>
      <w:r w:rsidR="00D34092" w:rsidRPr="00E035E5">
        <w:rPr>
          <w:bCs/>
          <w:highlight w:val="lightGray"/>
        </w:rPr>
        <w:t xml:space="preserve"> or program</w:t>
      </w:r>
      <w:r w:rsidR="002A019C" w:rsidRPr="00E035E5">
        <w:rPr>
          <w:bCs/>
          <w:highlight w:val="lightGray"/>
        </w:rPr>
        <w:t xml:space="preserve">] </w:t>
      </w:r>
      <w:r w:rsidR="00BA6AE2" w:rsidRPr="00E035E5">
        <w:rPr>
          <w:bCs/>
          <w:highlight w:val="lightGray"/>
        </w:rPr>
        <w:t>are presented on an accrual basis.</w:t>
      </w:r>
      <w:r w:rsidR="002238AA" w:rsidRPr="00E035E5">
        <w:rPr>
          <w:bCs/>
          <w:highlight w:val="lightGray"/>
        </w:rPr>
        <w:t xml:space="preserve"> </w:t>
      </w:r>
      <w:r w:rsidR="002238AA" w:rsidRPr="00E035E5">
        <w:rPr>
          <w:b/>
          <w:bCs/>
          <w:color w:val="4F81BD" w:themeColor="accent1"/>
          <w:highlight w:val="lightGray"/>
        </w:rPr>
        <w:t>[</w:t>
      </w:r>
      <w:r w:rsidR="00326282" w:rsidRPr="00E035E5">
        <w:rPr>
          <w:b/>
          <w:bCs/>
          <w:color w:val="4F81BD" w:themeColor="accent1"/>
          <w:highlight w:val="lightGray"/>
        </w:rPr>
        <w:t>2</w:t>
      </w:r>
      <w:r w:rsidR="002238AA" w:rsidRPr="00E035E5">
        <w:rPr>
          <w:b/>
          <w:bCs/>
          <w:color w:val="4F81BD" w:themeColor="accent1"/>
          <w:highlight w:val="lightGray"/>
        </w:rPr>
        <w:t>]</w:t>
      </w:r>
      <w:r w:rsidR="002238AA" w:rsidRPr="00E035E5">
        <w:rPr>
          <w:bCs/>
        </w:rPr>
        <w:t xml:space="preserve"> </w:t>
      </w:r>
      <w:r w:rsidR="006F0603" w:rsidRPr="00E035E5">
        <w:rPr>
          <w:bCs/>
        </w:rPr>
        <w:t>]</w:t>
      </w:r>
      <w:r w:rsidR="00BA6AE2" w:rsidRPr="00E035E5">
        <w:rPr>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E035E5">
        <w:t>[</w:t>
      </w:r>
      <w:r w:rsidR="00B82442" w:rsidRPr="00E035E5">
        <w:rPr>
          <w:highlight w:val="lightGray"/>
        </w:rPr>
        <w:t>Negative amounts shown on the Schedule represent adjustments or credits made in the normal course of business to amounts reported as expenditures in prior years</w:t>
      </w:r>
      <w:r w:rsidR="00C10167" w:rsidRPr="00E035E5">
        <w:rPr>
          <w:highlight w:val="lightGray"/>
        </w:rPr>
        <w:t>.</w:t>
      </w:r>
      <w:r w:rsidR="00787A0A" w:rsidRPr="00E035E5">
        <w:t>]</w:t>
      </w:r>
      <w:r w:rsidR="00B82442">
        <w:t xml:space="preserve">  </w:t>
      </w:r>
    </w:p>
    <w:p w14:paraId="28B45B88" w14:textId="77777777" w:rsidR="001164C6" w:rsidRPr="00B82442" w:rsidRDefault="001164C6" w:rsidP="008A6175">
      <w:pPr>
        <w:jc w:val="both"/>
      </w:pPr>
    </w:p>
    <w:p w14:paraId="207663B2" w14:textId="407CDC2A" w:rsidR="00326282" w:rsidRDefault="00F73003" w:rsidP="00B56DFC">
      <w:pPr>
        <w:jc w:val="both"/>
        <w:rPr>
          <w:b/>
          <w:bCs/>
          <w:color w:val="4F81BD" w:themeColor="accent1"/>
        </w:rPr>
      </w:pPr>
      <w:r w:rsidRPr="00743218">
        <w:rPr>
          <w:b/>
          <w:bCs/>
          <w:color w:val="4F81BD" w:themeColor="accent1"/>
        </w:rPr>
        <w:t>[</w:t>
      </w:r>
      <w:r w:rsidR="006F0603"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369228B1"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r w:rsidR="001164C6" w:rsidRPr="00B56DFC">
        <w:rPr>
          <w:b/>
          <w:bCs/>
          <w:color w:val="4F81BD" w:themeColor="accent1"/>
        </w:rPr>
        <w:t>]</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2784DDDC" w:rsidR="00B63544" w:rsidRDefault="00B63544" w:rsidP="00E035E5">
      <w:pPr>
        <w:jc w:val="both"/>
      </w:pPr>
      <w:r>
        <w:t xml:space="preserve">The </w:t>
      </w:r>
      <w:r w:rsidR="008421EE">
        <w:rPr>
          <w:highlight w:val="lightGray"/>
        </w:rPr>
        <w:t>Entity</w:t>
      </w:r>
      <w:r>
        <w:t xml:space="preserve"> has elected </w:t>
      </w:r>
      <w:r w:rsidRPr="00E035E5">
        <w:t>[</w:t>
      </w:r>
      <w:r w:rsidRPr="00E035E5">
        <w:rPr>
          <w:highlight w:val="lightGray"/>
        </w:rPr>
        <w:t>not</w:t>
      </w:r>
      <w:r w:rsidRPr="00E035E5">
        <w:t>]</w:t>
      </w:r>
      <w:r>
        <w:t xml:space="preserve"> to use the 10-percent de minimis indirect cost rate as allowed under the Uniform Guidance.</w:t>
      </w:r>
    </w:p>
    <w:p w14:paraId="740D2396" w14:textId="77777777" w:rsidR="00B63544" w:rsidRDefault="00B63544" w:rsidP="007344B6">
      <w:pPr>
        <w:rPr>
          <w:b/>
          <w:bCs/>
        </w:rPr>
      </w:pPr>
    </w:p>
    <w:p w14:paraId="7AC15A99" w14:textId="64C49367"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w:t>
      </w:r>
      <w:r>
        <w:rPr>
          <w:b/>
          <w:bCs/>
          <w:color w:val="4F81BD" w:themeColor="accent1"/>
        </w:rPr>
        <w:t>]</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7CE187BF" w14:textId="448133DD" w:rsidR="00BA6AE2" w:rsidRDefault="00BA6AE2" w:rsidP="008A6175">
      <w:pPr>
        <w:jc w:val="both"/>
      </w:pPr>
      <w:r>
        <w:t xml:space="preserve">The </w:t>
      </w:r>
      <w:r w:rsidR="008421EE">
        <w:rPr>
          <w:highlight w:val="lightGray"/>
        </w:rPr>
        <w:t>Entity</w:t>
      </w:r>
      <w:r w:rsidR="006F0603">
        <w:t xml:space="preserve"> </w:t>
      </w:r>
      <w:r>
        <w:t>passes</w:t>
      </w:r>
      <w:r w:rsidR="006F0603">
        <w:t xml:space="preserve"> </w:t>
      </w:r>
      <w:r>
        <w:t xml:space="preserve">certain </w:t>
      </w:r>
      <w:r w:rsidR="00D34092">
        <w:t>f</w:t>
      </w:r>
      <w:r>
        <w:t>ederal a</w:t>
      </w:r>
      <w:r w:rsidR="00D34092">
        <w:t>wards</w:t>
      </w:r>
      <w:r>
        <w:t xml:space="preserve"> received from </w:t>
      </w:r>
      <w:r w:rsidRPr="00E035E5">
        <w:rPr>
          <w:bCs/>
        </w:rPr>
        <w:t>[</w:t>
      </w:r>
      <w:r w:rsidRPr="00E035E5">
        <w:rPr>
          <w:bCs/>
          <w:highlight w:val="lightGray"/>
        </w:rPr>
        <w:t>name Federal or pass-through agency</w:t>
      </w:r>
      <w:r w:rsidRPr="00E035E5">
        <w:rPr>
          <w:bCs/>
        </w:rPr>
        <w:t>]</w:t>
      </w:r>
      <w:r w:rsidRPr="00AC2161">
        <w:t xml:space="preserve"> </w:t>
      </w:r>
      <w:r>
        <w:t>to other governments or not-for-profit agencies (subrecipients)</w:t>
      </w:r>
      <w:r w:rsidR="00594056">
        <w:t xml:space="preserve">.  </w:t>
      </w:r>
      <w:r w:rsidR="00787A0A">
        <w:t>As Note B</w:t>
      </w:r>
      <w:r w:rsidR="006F0603">
        <w:t xml:space="preserve"> describes</w:t>
      </w:r>
      <w:r>
        <w:t xml:space="preserve">, the </w:t>
      </w:r>
      <w:r w:rsidR="008421EE">
        <w:rPr>
          <w:highlight w:val="lightGray"/>
        </w:rPr>
        <w:t>Entity</w:t>
      </w:r>
      <w:r w:rsidR="006F0603">
        <w:t xml:space="preserve"> </w:t>
      </w:r>
      <w:r>
        <w:t>re</w:t>
      </w:r>
      <w:r w:rsidR="006F0603">
        <w:t>ports</w:t>
      </w:r>
      <w:r>
        <w:t xml:space="preserve"> expenditures of Federal awards to subrecipients when paid in cash</w:t>
      </w:r>
      <w:r w:rsidR="002A019C">
        <w:t>.</w:t>
      </w:r>
      <w:r w:rsidR="002A019C" w:rsidRPr="002A019C">
        <w:rPr>
          <w:b/>
        </w:rPr>
        <w:t xml:space="preserve"> </w:t>
      </w:r>
      <w:r w:rsidR="002A019C" w:rsidRPr="00E035E5">
        <w:t>[</w:t>
      </w:r>
      <w:r w:rsidR="002A019C" w:rsidRPr="00E035E5">
        <w:rPr>
          <w:highlight w:val="lightGray"/>
        </w:rPr>
        <w:t>,</w:t>
      </w:r>
      <w:r w:rsidR="00594056" w:rsidRPr="00E035E5">
        <w:rPr>
          <w:highlight w:val="lightGray"/>
        </w:rPr>
        <w:t xml:space="preserve"> </w:t>
      </w:r>
      <w:r w:rsidR="002A019C" w:rsidRPr="00E035E5">
        <w:rPr>
          <w:bCs/>
          <w:highlight w:val="lightGray"/>
        </w:rPr>
        <w:t>except expenditures passed through [list pass-through agency] are presented on an accrual basis.</w:t>
      </w:r>
      <w:r w:rsidR="00AC2161">
        <w:rPr>
          <w:bCs/>
        </w:rPr>
        <w:t>]</w:t>
      </w:r>
      <w:r w:rsidR="002A019C">
        <w:rPr>
          <w:b/>
          <w:bCs/>
        </w:rPr>
        <w:t xml:space="preserve">  </w:t>
      </w:r>
      <w:r w:rsidR="00F73003">
        <w:rPr>
          <w:b/>
          <w:bCs/>
          <w:color w:val="4F81BD" w:themeColor="accent1"/>
        </w:rPr>
        <w:t>[</w:t>
      </w:r>
      <w:r w:rsidR="00CF7752" w:rsidRPr="006F0603">
        <w:rPr>
          <w:b/>
          <w:bCs/>
          <w:color w:val="4F81BD" w:themeColor="accent1"/>
        </w:rPr>
        <w:t xml:space="preserve">NOTE: </w:t>
      </w:r>
      <w:r w:rsidR="00F73003">
        <w:rPr>
          <w:b/>
          <w:bCs/>
          <w:color w:val="4F81BD" w:themeColor="accent1"/>
        </w:rPr>
        <w:t>L</w:t>
      </w:r>
      <w:r w:rsidR="00CF7752">
        <w:rPr>
          <w:b/>
          <w:bCs/>
          <w:color w:val="4F81BD" w:themeColor="accent1"/>
        </w:rPr>
        <w:t>ist exception if a specific program with e</w:t>
      </w:r>
      <w:r w:rsidR="00CF7752" w:rsidRPr="006F0603">
        <w:rPr>
          <w:b/>
          <w:bCs/>
          <w:color w:val="4F81BD" w:themeColor="accent1"/>
        </w:rPr>
        <w:t xml:space="preserve">xpenditures </w:t>
      </w:r>
      <w:r w:rsidR="00CF7752">
        <w:rPr>
          <w:b/>
          <w:bCs/>
          <w:color w:val="4F81BD" w:themeColor="accent1"/>
        </w:rPr>
        <w:t xml:space="preserve">that </w:t>
      </w:r>
      <w:r w:rsidR="00CF7752" w:rsidRPr="006F0603">
        <w:rPr>
          <w:b/>
          <w:bCs/>
          <w:color w:val="4F81BD" w:themeColor="accent1"/>
        </w:rPr>
        <w:t>must be accrued</w:t>
      </w:r>
      <w:r w:rsidR="00CF7752">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371D354" w:rsidR="00BA6AE2" w:rsidRPr="00720B7B" w:rsidRDefault="00D34092" w:rsidP="008A6175">
      <w:pPr>
        <w:jc w:val="both"/>
        <w:rPr>
          <w:color w:val="4F81BD" w:themeColor="accent1"/>
        </w:rPr>
      </w:pPr>
      <w:r>
        <w:t xml:space="preserve">As a </w:t>
      </w:r>
      <w:r w:rsidR="00BC12E4">
        <w:t>pass-through entity</w:t>
      </w:r>
      <w:r>
        <w:t>, t</w:t>
      </w:r>
      <w:r w:rsidR="00BA6AE2">
        <w:t xml:space="preserve">he </w:t>
      </w:r>
      <w:r w:rsidR="008421EE">
        <w:rPr>
          <w:highlight w:val="lightGray"/>
        </w:rPr>
        <w:t>Entity</w:t>
      </w:r>
      <w:r>
        <w:t xml:space="preserve">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8421EE">
        <w:rPr>
          <w:b/>
          <w:bCs/>
          <w:color w:val="4F81BD" w:themeColor="accent1"/>
        </w:rPr>
        <w:t>Entity</w:t>
      </w:r>
      <w:r w:rsidR="006F0603" w:rsidRPr="00720B7B">
        <w:rPr>
          <w:b/>
          <w:bCs/>
          <w:color w:val="4F81BD" w:themeColor="accent1"/>
        </w:rPr>
        <w:t xml:space="preserve"> </w:t>
      </w:r>
      <w:r w:rsidR="00BA6AE2" w:rsidRPr="00720B7B">
        <w:rPr>
          <w:b/>
          <w:bCs/>
          <w:color w:val="4F81BD" w:themeColor="accent1"/>
        </w:rPr>
        <w:t>does not have subrecipients</w:t>
      </w:r>
      <w:r w:rsidR="0003002C">
        <w:rPr>
          <w:b/>
          <w:bCs/>
          <w:color w:val="4F81BD" w:themeColor="accent1"/>
        </w:rPr>
        <w:t xml:space="preserve"> or note that your </w:t>
      </w:r>
      <w:r w:rsidR="008421EE">
        <w:rPr>
          <w:b/>
          <w:bCs/>
          <w:color w:val="4F81BD" w:themeColor="accent1"/>
        </w:rPr>
        <w:t>Entity</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47F7C35F" w:rsidR="00720B7B" w:rsidRPr="00743218" w:rsidRDefault="00D34092" w:rsidP="00743218">
      <w:pPr>
        <w:jc w:val="both"/>
        <w:rPr>
          <w:lang w:eastAsia="ja-JP"/>
        </w:rPr>
      </w:pPr>
      <w:r>
        <w:rPr>
          <w:lang w:eastAsia="ja-JP"/>
        </w:rPr>
        <w:t xml:space="preserve">The </w:t>
      </w:r>
      <w:r w:rsidR="008421EE">
        <w:rPr>
          <w:highlight w:val="lightGray"/>
          <w:lang w:eastAsia="ja-JP"/>
        </w:rPr>
        <w:t>Entity</w:t>
      </w:r>
      <w:r>
        <w:rPr>
          <w:lang w:eastAsia="ja-JP"/>
        </w:rPr>
        <w:t xml:space="preserve">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w:t>
      </w:r>
      <w:r w:rsidR="008421EE">
        <w:rPr>
          <w:highlight w:val="lightGray"/>
          <w:lang w:eastAsia="ja-JP"/>
        </w:rPr>
        <w:t>Entity</w:t>
      </w:r>
      <w:r w:rsidR="006F0603">
        <w:rPr>
          <w:lang w:eastAsia="ja-JP"/>
        </w:rPr>
        <w:t xml:space="preserve">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6CD70D28" w:rsidR="0094534B" w:rsidRPr="00743218" w:rsidRDefault="00602E31" w:rsidP="00743218">
      <w:pPr>
        <w:jc w:val="both"/>
      </w:pPr>
      <w:r w:rsidRPr="00F443C4">
        <w:rPr>
          <w:lang w:eastAsia="ja-JP"/>
        </w:rPr>
        <w:t>Th</w:t>
      </w:r>
      <w:r w:rsidR="006F0603">
        <w:rPr>
          <w:lang w:eastAsia="ja-JP"/>
        </w:rPr>
        <w:t xml:space="preserve">e </w:t>
      </w:r>
      <w:r w:rsidR="008421EE">
        <w:rPr>
          <w:highlight w:val="lightGray"/>
          <w:lang w:eastAsia="ja-JP"/>
        </w:rPr>
        <w:t>Entity</w:t>
      </w:r>
      <w:r w:rsidR="006F0603">
        <w:rPr>
          <w:lang w:eastAsia="ja-JP"/>
        </w:rPr>
        <w:t xml:space="preserve"> reports commodities consumed o</w:t>
      </w:r>
      <w:r w:rsidRPr="00F443C4">
        <w:rPr>
          <w:lang w:eastAsia="ja-JP"/>
        </w:rPr>
        <w:t xml:space="preserve">n the Schedule at the </w:t>
      </w:r>
      <w:r w:rsidR="0094534B">
        <w:rPr>
          <w:lang w:eastAsia="ja-JP"/>
        </w:rPr>
        <w:t>fair</w:t>
      </w:r>
      <w:r w:rsidRPr="00F443C4">
        <w:rPr>
          <w:lang w:eastAsia="ja-JP"/>
        </w:rPr>
        <w:t xml:space="preserve"> </w:t>
      </w:r>
      <w:r w:rsidRPr="00BC12E4">
        <w:rPr>
          <w:lang w:eastAsia="ja-JP"/>
        </w:rPr>
        <w:t>value</w:t>
      </w:r>
      <w:r w:rsidR="002A019C" w:rsidRPr="00BC12E4">
        <w:rPr>
          <w:lang w:eastAsia="ja-JP"/>
        </w:rPr>
        <w:t xml:space="preserve"> </w:t>
      </w:r>
      <w:r w:rsidR="002A019C" w:rsidRPr="00E035E5">
        <w:rPr>
          <w:lang w:eastAsia="ja-JP"/>
        </w:rPr>
        <w:t>[</w:t>
      </w:r>
      <w:r w:rsidR="002A019C" w:rsidRPr="00E035E5">
        <w:rPr>
          <w:highlight w:val="lightGray"/>
          <w:lang w:eastAsia="ja-JP"/>
        </w:rPr>
        <w:t>or entitlement value</w:t>
      </w:r>
      <w:r w:rsidR="002A019C" w:rsidRPr="00E035E5">
        <w:rPr>
          <w:lang w:eastAsia="ja-JP"/>
        </w:rPr>
        <w:t>]</w:t>
      </w:r>
      <w:r w:rsidRPr="00BC12E4">
        <w:rPr>
          <w:lang w:eastAsia="ja-JP"/>
        </w:rPr>
        <w:t>.</w:t>
      </w:r>
      <w:r w:rsidR="00B71298">
        <w:rPr>
          <w:lang w:eastAsia="ja-JP"/>
        </w:rPr>
        <w:t xml:space="preserve">  </w:t>
      </w:r>
      <w:r w:rsidR="00B71298" w:rsidRPr="00B71298">
        <w:t xml:space="preserve">The </w:t>
      </w:r>
      <w:r w:rsidR="008421EE">
        <w:rPr>
          <w:highlight w:val="lightGray"/>
        </w:rPr>
        <w:t>Entity</w:t>
      </w:r>
      <w:r w:rsidR="00B71298" w:rsidRPr="00B71298">
        <w:t xml:space="preserve"> allocated donated food commodities to the respective program</w:t>
      </w:r>
      <w:r w:rsidR="00BC12E4" w:rsidRPr="00E035E5">
        <w:rPr>
          <w:bCs/>
        </w:rPr>
        <w:t>[</w:t>
      </w:r>
      <w:r w:rsidR="00BC12E4" w:rsidRPr="00E035E5">
        <w:rPr>
          <w:bCs/>
          <w:highlight w:val="lightGray"/>
        </w:rPr>
        <w:t>s</w:t>
      </w:r>
      <w:r w:rsidR="00BC12E4" w:rsidRPr="00E035E5">
        <w:rPr>
          <w:bCs/>
        </w:rPr>
        <w:t>]</w:t>
      </w:r>
      <w:r w:rsidR="00B71298" w:rsidRPr="00B71298">
        <w:rPr>
          <w:b/>
          <w:bCs/>
        </w:rPr>
        <w:t xml:space="preserve">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2ED0DD7F"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w:t>
      </w:r>
      <w:r w:rsidR="008421EE">
        <w:rPr>
          <w:bCs/>
          <w:highlight w:val="lightGray"/>
        </w:rPr>
        <w:t>Entity</w:t>
      </w:r>
      <w:r>
        <w:rPr>
          <w:bCs/>
        </w:rPr>
        <w:t xml:space="preserve">, and balances and transactions relating to these programs are included in the </w:t>
      </w:r>
      <w:r w:rsidR="008421EE">
        <w:rPr>
          <w:bCs/>
          <w:highlight w:val="lightGray"/>
        </w:rPr>
        <w:t>Entity</w:t>
      </w:r>
      <w:r w:rsidR="0006498E" w:rsidRPr="00E035E5">
        <w:rPr>
          <w:bCs/>
          <w:highlight w:val="lightGray"/>
        </w:rPr>
        <w:t>’</w:t>
      </w:r>
      <w:r w:rsidRPr="00E035E5">
        <w:rPr>
          <w:bCs/>
          <w:highlight w:val="lightGray"/>
        </w:rPr>
        <w:t>s</w:t>
      </w:r>
      <w:r>
        <w:rPr>
          <w:bCs/>
        </w:rPr>
        <w:t xml:space="preserve"> basic financial statements.  Loans outstanding at the beginning of the year and loans made during the year are included in the federal expenditures presented in the Schedule.  The </w:t>
      </w:r>
      <w:r w:rsidR="00AE30BC">
        <w:rPr>
          <w:bCs/>
        </w:rPr>
        <w:t>balances of loans outstanding at [</w:t>
      </w:r>
      <w:r w:rsidR="00AE30BC" w:rsidRPr="00E035E5">
        <w:rPr>
          <w:bCs/>
          <w:highlight w:val="lightGray"/>
        </w:rPr>
        <w:t>FISCAL YEAR END DATE</w:t>
      </w:r>
      <w:r w:rsidR="00AE30BC">
        <w:rPr>
          <w:bCs/>
        </w:rPr>
        <w:t>]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2994"/>
        <w:gridCol w:w="3132"/>
        <w:gridCol w:w="3116"/>
      </w:tblGrid>
      <w:tr w:rsidR="003B356A" w:rsidRPr="007E3243" w14:paraId="56FD3D5B" w14:textId="77777777" w:rsidTr="001E6F20">
        <w:tc>
          <w:tcPr>
            <w:tcW w:w="3084" w:type="dxa"/>
            <w:shd w:val="clear" w:color="auto" w:fill="D9D9D9" w:themeFill="background1" w:themeFillShade="D9"/>
          </w:tcPr>
          <w:p w14:paraId="2CC03BB0" w14:textId="721626BB" w:rsidR="003B356A" w:rsidRPr="007E3243" w:rsidRDefault="000B220B" w:rsidP="007344B6">
            <w:pPr>
              <w:rPr>
                <w:b/>
                <w:bCs/>
              </w:rPr>
            </w:pPr>
            <w:r>
              <w:rPr>
                <w:b/>
                <w:bCs/>
              </w:rPr>
              <w:t>AL</w:t>
            </w:r>
            <w:r w:rsidRPr="007E3243">
              <w:rPr>
                <w:b/>
                <w:bCs/>
              </w:rPr>
              <w:t xml:space="preserve"> </w:t>
            </w:r>
            <w:r w:rsidR="003B356A" w:rsidRPr="007E3243">
              <w:rPr>
                <w:b/>
                <w:bCs/>
              </w:rPr>
              <w:t>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53798144"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3AE29080"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r w:rsidR="003974CE" w:rsidRPr="00BE32FE">
        <w:rPr>
          <w:b/>
          <w:color w:val="548DD4" w:themeColor="text2" w:themeTint="99"/>
        </w:rPr>
        <w:t xml:space="preserve">AICPA </w:t>
      </w:r>
      <w:r w:rsidRPr="00BE32FE">
        <w:rPr>
          <w:b/>
          <w:i/>
          <w:color w:val="548DD4" w:themeColor="text2" w:themeTint="99"/>
        </w:rPr>
        <w:t>Single Audit</w:t>
      </w:r>
      <w:r w:rsidRPr="00BE32FE">
        <w:rPr>
          <w:b/>
          <w:color w:val="548DD4" w:themeColor="text2" w:themeTint="99"/>
        </w:rPr>
        <w:t xml:space="preserve"> </w:t>
      </w:r>
      <w:r w:rsidRPr="004A7FB9">
        <w:rPr>
          <w:b/>
          <w:i/>
          <w:color w:val="548DD4" w:themeColor="text2" w:themeTint="99"/>
        </w:rPr>
        <w:t>Guide</w:t>
      </w:r>
      <w:r w:rsidRPr="00BE32FE">
        <w:rPr>
          <w:b/>
          <w:color w:val="548DD4" w:themeColor="text2" w:themeTint="99"/>
        </w:rPr>
        <w:t>,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 xml:space="preserve">“2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w:t>
      </w:r>
      <w:r w:rsidR="00BE32FE" w:rsidRPr="00E035E5">
        <w:rPr>
          <w:b/>
          <w:i/>
          <w:color w:val="548DD4" w:themeColor="text2" w:themeTint="99"/>
        </w:rPr>
        <w:t>continuing compliance requirements</w:t>
      </w:r>
      <w:r w:rsidR="00BE32FE" w:rsidRPr="00B56DFC">
        <w:rPr>
          <w:b/>
          <w:color w:val="548DD4" w:themeColor="text2" w:themeTint="99"/>
        </w:rPr>
        <w:t xml:space="preserve">,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w:t>
      </w:r>
      <w:r w:rsidR="00BE32FE" w:rsidRPr="00E035E5">
        <w:rPr>
          <w:b/>
          <w:i/>
          <w:color w:val="548DD4" w:themeColor="text2" w:themeTint="99"/>
        </w:rPr>
        <w:t>Compliance Supplement</w:t>
      </w:r>
      <w:r w:rsidR="00BE32FE" w:rsidRPr="00B56DFC">
        <w:rPr>
          <w:b/>
          <w:color w:val="548DD4" w:themeColor="text2" w:themeTint="99"/>
        </w:rPr>
        <w: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733374FD" w14:textId="7760F853" w:rsidR="00C10167" w:rsidRPr="00B56DFC" w:rsidRDefault="00BE32FE" w:rsidP="00B56DFC">
      <w:pPr>
        <w:pStyle w:val="ListParagraph"/>
        <w:jc w:val="both"/>
        <w:rPr>
          <w:b/>
          <w:color w:val="548DD4" w:themeColor="text2" w:themeTint="99"/>
        </w:rPr>
      </w:pPr>
      <w:r w:rsidRPr="00B56DFC">
        <w:rPr>
          <w:b/>
          <w:color w:val="548DD4" w:themeColor="text2" w:themeTint="99"/>
        </w:rPr>
        <w:t>In some cases, determining whether a loan has continuing compliance requirements is relatively straightforward. For example, when an auditee expended the proceeds of a federal loan to construct a building in the prior year, a provision by the federal lender to require the 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t>
      </w:r>
      <w:r w:rsidRPr="00B56DFC">
        <w:rPr>
          <w:b/>
          <w:color w:val="548DD4" w:themeColor="text2" w:themeTint="99"/>
        </w:rPr>
        <w:lastRenderedPageBreak/>
        <w:t>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r w:rsidRPr="00B56DFC">
        <w:rPr>
          <w:b/>
          <w:color w:val="548DD4" w:themeColor="text2" w:themeTint="99"/>
        </w:rPr>
        <w:t xml:space="preserve">Furthermore, footnote </w:t>
      </w:r>
      <w:r w:rsidR="00BC12E4">
        <w:rPr>
          <w:b/>
          <w:color w:val="548DD4" w:themeColor="text2" w:themeTint="99"/>
        </w:rPr>
        <w:t>8</w:t>
      </w:r>
      <w:r w:rsidRPr="00B56DFC">
        <w:rPr>
          <w:b/>
          <w:color w:val="548DD4" w:themeColor="text2" w:themeTint="99"/>
        </w:rPr>
        <w:t xml:space="preserve"> to 7.21 states “</w:t>
      </w:r>
      <w:r w:rsidRPr="00BE32FE">
        <w:rPr>
          <w:b/>
          <w:color w:val="548DD4" w:themeColor="text2" w:themeTint="99"/>
        </w:rPr>
        <w:t xml:space="preserve">auditors may use professional judgment in evaluating the auditee's determination of whether there are continuing compliance requirements. Communication with the federal agency's Office of Inspector General or other such program contact listed in Appendix III of the </w:t>
      </w:r>
      <w:r w:rsidRPr="00E035E5">
        <w:rPr>
          <w:b/>
          <w:i/>
          <w:color w:val="548DD4" w:themeColor="text2" w:themeTint="99"/>
        </w:rPr>
        <w:t>Compliance Supplement</w:t>
      </w:r>
      <w:r w:rsidRPr="00BE32FE">
        <w:rPr>
          <w:b/>
          <w:color w:val="548DD4" w:themeColor="text2" w:themeTint="99"/>
        </w:rPr>
        <w:t xml:space="preserve">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5E237433" w:rsidR="00BA6AE2" w:rsidRDefault="0094534B" w:rsidP="00E035E5">
      <w:pPr>
        <w:jc w:val="both"/>
        <w:rPr>
          <w:b/>
          <w:bCs/>
        </w:rPr>
      </w:pPr>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BC12E4">
        <w:rPr>
          <w:b/>
          <w:bCs/>
        </w:rPr>
        <w:t xml:space="preserve">WITH </w:t>
      </w:r>
      <w:r w:rsidR="00F076C6">
        <w:rPr>
          <w:b/>
          <w:bCs/>
        </w:rPr>
        <w:t xml:space="preserve">REVOLVING LOAN </w:t>
      </w:r>
      <w:r w:rsidR="00D929A9">
        <w:rPr>
          <w:b/>
          <w:bCs/>
        </w:rPr>
        <w:t>CASH BALANCE</w:t>
      </w:r>
    </w:p>
    <w:p w14:paraId="425C74D4" w14:textId="77777777" w:rsidR="00BC12E4" w:rsidRDefault="00BC12E4" w:rsidP="00E035E5">
      <w:pPr>
        <w:jc w:val="both"/>
      </w:pPr>
    </w:p>
    <w:p w14:paraId="57AE24AC" w14:textId="17A99024"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w:t>
      </w:r>
      <w:r w:rsidR="000B220B">
        <w:rPr>
          <w:rFonts w:cs="Arial"/>
          <w:b/>
          <w:color w:val="4F81BD" w:themeColor="accent1"/>
        </w:rPr>
        <w:t xml:space="preserve">AL </w:t>
      </w:r>
      <w:r>
        <w:rPr>
          <w:rFonts w:cs="Arial"/>
          <w:b/>
          <w:color w:val="4F81BD" w:themeColor="accent1"/>
        </w:rPr>
        <w:t xml:space="preserve">#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5D5DCC">
        <w:rPr>
          <w:rFonts w:cs="Arial"/>
          <w:b/>
          <w:color w:val="4F81BD" w:themeColor="accent1"/>
        </w:rPr>
        <w:t xml:space="preserve">the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 xml:space="preserve">loaned by </w:t>
      </w:r>
      <w:r w:rsidR="005D5DCC">
        <w:rPr>
          <w:rFonts w:cs="Arial"/>
          <w:b/>
          <w:color w:val="4F81BD" w:themeColor="accent1"/>
        </w:rPr>
        <w:t xml:space="preserve">the </w:t>
      </w:r>
      <w:r w:rsidR="00933FC8">
        <w:rPr>
          <w:rFonts w:cs="Arial"/>
          <w:b/>
          <w:color w:val="4F81BD" w:themeColor="accent1"/>
        </w:rPr>
        <w:t>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 xml:space="preserve">These programs originate as grants from the Federal </w:t>
      </w:r>
      <w:r w:rsidR="005D5DCC">
        <w:rPr>
          <w:rFonts w:cs="Arial"/>
          <w:b/>
          <w:color w:val="4F81BD" w:themeColor="accent1"/>
        </w:rPr>
        <w:t>g</w:t>
      </w:r>
      <w:r>
        <w:rPr>
          <w:rFonts w:cs="Arial"/>
          <w:b/>
          <w:color w:val="4F81BD" w:themeColor="accent1"/>
        </w:rPr>
        <w:t>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w:t>
      </w:r>
      <w:r w:rsidR="005D5DCC">
        <w:rPr>
          <w:rFonts w:cs="Arial"/>
          <w:b/>
          <w:color w:val="4F81BD" w:themeColor="accent1"/>
        </w:rPr>
        <w:t xml:space="preserve">the </w:t>
      </w:r>
      <w:r>
        <w:rPr>
          <w:rFonts w:cs="Arial"/>
          <w:b/>
          <w:color w:val="4F81BD" w:themeColor="accent1"/>
        </w:rPr>
        <w:t xml:space="preserve">local government uses these grant monies for revolving loan purposes.  </w:t>
      </w:r>
    </w:p>
    <w:p w14:paraId="4EC1C64E" w14:textId="12422BD9"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UG required footnote and no modification will be made to the opinion on the Schedule of Expenditures of Federal Awards</w:t>
      </w:r>
      <w:r w:rsidR="005D5DCC">
        <w:rPr>
          <w:rFonts w:cs="Arial"/>
          <w:b/>
          <w:color w:val="4F81BD" w:themeColor="accent1"/>
        </w:rPr>
        <w:t xml:space="preserve"> if the note is not included</w:t>
      </w:r>
      <w:r w:rsidR="00D929A9">
        <w:rPr>
          <w:rFonts w:cs="Arial"/>
          <w:b/>
          <w:color w:val="4F81BD" w:themeColor="accent1"/>
        </w:rPr>
        <w:t xml:space="preserve">. </w:t>
      </w:r>
    </w:p>
    <w:p w14:paraId="7AE186C8" w14:textId="77777777" w:rsidR="00C10167" w:rsidRDefault="00C10167" w:rsidP="004B531A"/>
    <w:p w14:paraId="38FCAECD" w14:textId="5F0B6628" w:rsidR="00436BB1" w:rsidRPr="00743218" w:rsidRDefault="00D929A9" w:rsidP="00436BB1">
      <w:pPr>
        <w:pStyle w:val="ListParagraph"/>
        <w:ind w:left="360"/>
        <w:rPr>
          <w:rFonts w:cs="Arial"/>
          <w:b/>
          <w:color w:val="4F81BD" w:themeColor="accent1"/>
        </w:rPr>
      </w:pPr>
      <w:r>
        <w:t xml:space="preserve">The current cash balance on the </w:t>
      </w:r>
      <w:r w:rsidR="008421EE">
        <w:rPr>
          <w:highlight w:val="lightGray"/>
        </w:rPr>
        <w:t>Entity</w:t>
      </w:r>
      <w:r w:rsidR="0006498E" w:rsidRPr="00E035E5">
        <w:rPr>
          <w:highlight w:val="lightGray"/>
        </w:rPr>
        <w:t>’</w:t>
      </w:r>
      <w:r w:rsidRPr="00E035E5">
        <w:rPr>
          <w:highlight w:val="lightGray"/>
        </w:rPr>
        <w:t>s</w:t>
      </w:r>
      <w:r>
        <w:t xml:space="preserve"> local program income account as of </w:t>
      </w:r>
      <w:r w:rsidRPr="00E035E5">
        <w:rPr>
          <w:bCs/>
        </w:rPr>
        <w:t>[</w:t>
      </w:r>
      <w:r w:rsidRPr="00E035E5">
        <w:rPr>
          <w:bCs/>
          <w:highlight w:val="lightGray"/>
        </w:rPr>
        <w:t>FYE DATE</w:t>
      </w:r>
      <w:r w:rsidRPr="00E035E5">
        <w:rPr>
          <w:bCs/>
        </w:rPr>
        <w:t>]</w:t>
      </w:r>
      <w:r>
        <w:rPr>
          <w:b/>
          <w:bCs/>
        </w:rPr>
        <w:t xml:space="preserve"> </w:t>
      </w:r>
      <w:r w:rsidRPr="00933FC8">
        <w:rPr>
          <w:bCs/>
        </w:rPr>
        <w:t>is</w:t>
      </w:r>
      <w:r>
        <w:rPr>
          <w:b/>
          <w:bCs/>
        </w:rPr>
        <w:t xml:space="preserve"> </w:t>
      </w:r>
      <w:r w:rsidRPr="00E035E5">
        <w:rPr>
          <w:bCs/>
        </w:rPr>
        <w:t>$</w:t>
      </w:r>
      <w:r w:rsidRPr="00E035E5">
        <w:rPr>
          <w:bCs/>
          <w:highlight w:val="lightGray"/>
        </w:rPr>
        <w:t>XXX,XXX</w:t>
      </w:r>
      <w:r w:rsidRPr="00E035E5">
        <w:rPr>
          <w:bCs/>
        </w:rPr>
        <w:t>.</w:t>
      </w:r>
      <w:r>
        <w:rPr>
          <w:b/>
          <w:bCs/>
        </w:rPr>
        <w:t xml:space="preserve">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06952FE4" w:rsidR="00AA5C82" w:rsidRDefault="00BA6AE2" w:rsidP="008A6175">
      <w:pPr>
        <w:jc w:val="both"/>
        <w:rPr>
          <w:b/>
          <w:bCs/>
        </w:rPr>
      </w:pPr>
      <w:r>
        <w:t xml:space="preserve">Certain Federal programs require the </w:t>
      </w:r>
      <w:r w:rsidR="008421EE">
        <w:rPr>
          <w:highlight w:val="lightGray"/>
        </w:rPr>
        <w:t>Entity</w:t>
      </w:r>
      <w:r w:rsidR="009F7BE6">
        <w:t xml:space="preserve"> to</w:t>
      </w:r>
      <w:r>
        <w:t xml:space="preserve"> contribute non-Federal funds (matching funds) to support the Federally-funded programs.  The </w:t>
      </w:r>
      <w:r w:rsidR="008421EE">
        <w:rPr>
          <w:highlight w:val="lightGray"/>
        </w:rPr>
        <w:t>Entity</w:t>
      </w:r>
      <w:r w:rsidR="009F7BE6">
        <w:t xml:space="preserve">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w:t>
      </w:r>
      <w:r w:rsidR="008421EE">
        <w:rPr>
          <w:b/>
          <w:bCs/>
          <w:color w:val="4F81BD" w:themeColor="accent1"/>
        </w:rPr>
        <w:t>Entity</w:t>
      </w:r>
      <w:r w:rsidR="009F7BE6" w:rsidRPr="00743218">
        <w:rPr>
          <w:b/>
          <w:bCs/>
          <w:color w:val="4F81BD" w:themeColor="accent1"/>
        </w:rPr>
        <w:t xml:space="preserve">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245AE0D2" w:rsidR="00CF7752" w:rsidRDefault="00CF7752" w:rsidP="00516EE5">
      <w:pPr>
        <w:jc w:val="both"/>
        <w:rPr>
          <w:rFonts w:eastAsia="Calibri" w:cs="Arial"/>
        </w:rPr>
      </w:pPr>
      <w:r w:rsidRPr="006422CC">
        <w:rPr>
          <w:rFonts w:eastAsia="Calibri" w:cs="Arial"/>
        </w:rPr>
        <w:t xml:space="preserve">Federal regulations require schools to obligate certain federal awards by June 30.  However, with ODE’s consent, schools can transfer unobligated amounts to the subsequent fiscal year’s program.  The </w:t>
      </w:r>
      <w:r w:rsidR="00B52CF9" w:rsidRPr="00E035E5">
        <w:rPr>
          <w:rFonts w:eastAsia="Calibri" w:cs="Arial"/>
          <w:highlight w:val="lightGray"/>
        </w:rPr>
        <w:t>Entity</w:t>
      </w:r>
      <w:r w:rsidR="00B52CF9" w:rsidRPr="006422CC">
        <w:rPr>
          <w:rFonts w:eastAsia="Calibri" w:cs="Arial"/>
        </w:rPr>
        <w:t xml:space="preserve"> </w:t>
      </w:r>
      <w:r w:rsidRPr="006422CC">
        <w:rPr>
          <w:rFonts w:eastAsia="Calibri" w:cs="Arial"/>
        </w:rPr>
        <w:t>transferred the</w:t>
      </w:r>
      <w:r w:rsidR="00490552">
        <w:rPr>
          <w:rFonts w:eastAsia="Calibri" w:cs="Arial"/>
        </w:rPr>
        <w:t xml:space="preserve"> following amounts from </w:t>
      </w:r>
      <w:r w:rsidR="00490552" w:rsidRPr="00E035E5">
        <w:rPr>
          <w:rFonts w:eastAsia="Calibri" w:cs="Arial"/>
          <w:highlight w:val="lightGray"/>
        </w:rPr>
        <w:t>20XX</w:t>
      </w:r>
      <w:r w:rsidR="00490552">
        <w:rPr>
          <w:rFonts w:eastAsia="Calibri" w:cs="Arial"/>
        </w:rPr>
        <w:t xml:space="preserve"> to </w:t>
      </w:r>
      <w:r w:rsidR="00490552" w:rsidRPr="00E035E5">
        <w:rPr>
          <w:rFonts w:eastAsia="Calibri" w:cs="Arial"/>
          <w:highlight w:val="lightGray"/>
        </w:rPr>
        <w:t>20XX</w:t>
      </w:r>
      <w:r w:rsidRPr="00E035E5">
        <w:rPr>
          <w:rFonts w:eastAsia="Calibri" w:cs="Arial"/>
          <w:highlight w:val="lightGray"/>
        </w:rPr>
        <w:t>+1</w:t>
      </w:r>
      <w:r w:rsidRPr="006422CC">
        <w:rPr>
          <w:rFonts w:eastAsia="Calibri" w:cs="Arial"/>
        </w:rPr>
        <w:t xml:space="preserve">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1" w:name="_MON_1523373847"/>
    <w:bookmarkEnd w:id="1"/>
    <w:p w14:paraId="5F1EE3A8" w14:textId="200D0592" w:rsidR="0052336F" w:rsidRPr="00996670" w:rsidRDefault="005D5DCC" w:rsidP="00E035E5">
      <w:pPr>
        <w:jc w:val="center"/>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63.25pt" o:ole="">
            <v:imagedata r:id="rId11" o:title=""/>
          </v:shape>
          <o:OLEObject Type="Embed" ProgID="Excel.Sheet.12" ShapeID="_x0000_i1025" DrawAspect="Content" ObjectID="_1726386124" r:id="rId12"/>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4E2DF584" w:rsidR="008A6175" w:rsidRPr="008A6175" w:rsidRDefault="0017533B" w:rsidP="008A6175">
      <w:pPr>
        <w:pStyle w:val="Default"/>
        <w:jc w:val="both"/>
        <w:rPr>
          <w:rFonts w:ascii="Arial" w:hAnsi="Arial" w:cs="Arial"/>
          <w:sz w:val="20"/>
          <w:szCs w:val="20"/>
        </w:rPr>
      </w:pPr>
      <w:r>
        <w:rPr>
          <w:rFonts w:ascii="Arial" w:hAnsi="Arial" w:cs="Arial"/>
          <w:sz w:val="20"/>
          <w:szCs w:val="20"/>
        </w:rPr>
        <w:t xml:space="preserve">During fiscal year </w:t>
      </w:r>
      <w:r w:rsidRPr="00E035E5">
        <w:rPr>
          <w:rFonts w:ascii="Arial" w:hAnsi="Arial" w:cs="Arial"/>
          <w:sz w:val="20"/>
          <w:szCs w:val="20"/>
          <w:highlight w:val="lightGray"/>
        </w:rPr>
        <w:t>20XX</w:t>
      </w:r>
      <w:r w:rsidR="008A6175" w:rsidRPr="008A6175">
        <w:rPr>
          <w:rFonts w:ascii="Arial" w:hAnsi="Arial" w:cs="Arial"/>
          <w:sz w:val="20"/>
          <w:szCs w:val="20"/>
        </w:rPr>
        <w:t xml:space="preserve">, the </w:t>
      </w:r>
      <w:r w:rsidR="00B52CF9" w:rsidRPr="00E035E5">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made allowable transfers of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w:t>
      </w:r>
      <w:r w:rsidR="005D5DCC">
        <w:rPr>
          <w:rFonts w:ascii="Arial" w:hAnsi="Arial" w:cs="Arial"/>
          <w:sz w:val="20"/>
          <w:szCs w:val="20"/>
        </w:rPr>
        <w:t>AL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5D5DCC">
        <w:rPr>
          <w:rFonts w:ascii="Arial" w:hAnsi="Arial" w:cs="Arial"/>
          <w:sz w:val="20"/>
          <w:szCs w:val="20"/>
        </w:rPr>
        <w:t>AL #</w:t>
      </w:r>
      <w:r w:rsidR="008A6175" w:rsidRPr="008A6175">
        <w:rPr>
          <w:rFonts w:ascii="Arial" w:hAnsi="Arial" w:cs="Arial"/>
          <w:sz w:val="20"/>
          <w:szCs w:val="20"/>
        </w:rPr>
        <w:t xml:space="preserve">93.667) program. The Schedule shows the </w:t>
      </w:r>
      <w:r w:rsidR="00B52CF9" w:rsidRPr="004B0047">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spent approximately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sidRPr="00E035E5">
        <w:rPr>
          <w:rFonts w:ascii="Arial" w:hAnsi="Arial" w:cs="Arial"/>
          <w:sz w:val="20"/>
          <w:szCs w:val="20"/>
          <w:highlight w:val="lightGray"/>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E035E5">
              <w:rPr>
                <w:rFonts w:ascii="Arial" w:hAnsi="Arial" w:cs="Arial"/>
                <w:sz w:val="20"/>
                <w:szCs w:val="20"/>
                <w:highlight w:val="lightGray"/>
              </w:rPr>
              <w:t>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w:t>
            </w:r>
            <w:r w:rsidRPr="00E035E5">
              <w:rPr>
                <w:rFonts w:ascii="Arial" w:hAnsi="Arial" w:cs="Arial"/>
                <w:sz w:val="20"/>
                <w:szCs w:val="20"/>
                <w:highlight w:val="lightGray"/>
                <w:u w:val="single"/>
              </w:rPr>
              <w:t>XXXX</w:t>
            </w:r>
            <w:r w:rsidRPr="008A6175">
              <w:rPr>
                <w:rFonts w:ascii="Arial" w:hAnsi="Arial" w:cs="Arial"/>
                <w:sz w:val="20"/>
                <w:szCs w:val="20"/>
                <w:u w:val="single"/>
              </w:rPr>
              <w:t>)</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lastRenderedPageBreak/>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ml:space="preserve">$ </w:t>
            </w:r>
            <w:r w:rsidRPr="00E035E5">
              <w:rPr>
                <w:rFonts w:cs="Arial"/>
                <w:b/>
                <w:bCs/>
                <w:highlight w:val="lightGray"/>
                <w:u w:val="double"/>
              </w:rPr>
              <w:t>XXXXX</w:t>
            </w:r>
          </w:p>
        </w:tc>
      </w:tr>
    </w:tbl>
    <w:p w14:paraId="4101FF92" w14:textId="6D1EDAF4" w:rsidR="008A6175" w:rsidRDefault="008A6175" w:rsidP="00E36DD7">
      <w:pPr>
        <w:jc w:val="both"/>
        <w:rPr>
          <w:rFonts w:cs="Arial"/>
          <w:b/>
          <w:bCs/>
          <w:color w:val="4F81BD" w:themeColor="accent1"/>
        </w:rPr>
      </w:pPr>
      <w:r>
        <w:rPr>
          <w:rFonts w:cs="Arial"/>
          <w:b/>
          <w:color w:val="4F81BD" w:themeColor="accent1"/>
        </w:rPr>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w:t>
      </w:r>
      <w:r w:rsidR="00E72C01">
        <w:rPr>
          <w:rFonts w:cs="Arial"/>
          <w:b/>
          <w:color w:val="4F81BD" w:themeColor="accent1"/>
        </w:rPr>
        <w:t xml:space="preserve">Job and Family Services Agencies or </w:t>
      </w:r>
      <w:r>
        <w:rPr>
          <w:rFonts w:cs="Arial"/>
          <w:b/>
          <w:color w:val="4F81BD" w:themeColor="accent1"/>
        </w:rPr>
        <w:t>county audits</w:t>
      </w:r>
      <w:r w:rsidR="00E72C01">
        <w:rPr>
          <w:rFonts w:cs="Arial"/>
          <w:b/>
          <w:color w:val="4F81BD" w:themeColor="accent1"/>
        </w:rPr>
        <w:t xml:space="preserve"> </w:t>
      </w:r>
      <w:r>
        <w:rPr>
          <w:rFonts w:cs="Arial"/>
          <w:b/>
          <w:color w:val="4F81BD" w:themeColor="accent1"/>
        </w:rPr>
        <w:t>in which the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53C2BF2C"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w:t>
      </w:r>
      <w:r w:rsidRPr="00E035E5">
        <w:rPr>
          <w:rFonts w:ascii="Arial" w:hAnsi="Arial" w:cs="Arial"/>
          <w:color w:val="auto"/>
          <w:sz w:val="20"/>
          <w:szCs w:val="20"/>
          <w:highlight w:val="lightGray"/>
        </w:rPr>
        <w:t>XYZ County</w:t>
      </w:r>
      <w:r w:rsidR="00E72C01" w:rsidRPr="00E035E5">
        <w:rPr>
          <w:rFonts w:ascii="Arial" w:hAnsi="Arial" w:cs="Arial"/>
          <w:color w:val="auto"/>
          <w:sz w:val="20"/>
          <w:szCs w:val="20"/>
          <w:highlight w:val="lightGray"/>
        </w:rPr>
        <w:t xml:space="preserve"> </w:t>
      </w:r>
      <w:r w:rsidR="00E72C01" w:rsidRPr="00E035E5">
        <w:rPr>
          <w:rFonts w:ascii="Arial" w:hAnsi="Arial" w:cs="Arial"/>
          <w:b/>
          <w:i/>
          <w:color w:val="auto"/>
          <w:sz w:val="20"/>
          <w:szCs w:val="20"/>
          <w:highlight w:val="lightGray"/>
        </w:rPr>
        <w:t>or</w:t>
      </w:r>
      <w:r w:rsidR="00E72C01" w:rsidRPr="00E035E5">
        <w:rPr>
          <w:rFonts w:ascii="Arial" w:hAnsi="Arial" w:cs="Arial"/>
          <w:i/>
          <w:color w:val="auto"/>
          <w:sz w:val="20"/>
          <w:szCs w:val="20"/>
          <w:highlight w:val="lightGray"/>
        </w:rPr>
        <w:t xml:space="preserve"> </w:t>
      </w:r>
      <w:r w:rsidR="00E72C01" w:rsidRPr="00E035E5">
        <w:rPr>
          <w:rFonts w:ascii="Arial" w:hAnsi="Arial" w:cs="Arial"/>
          <w:color w:val="auto"/>
          <w:sz w:val="20"/>
          <w:szCs w:val="20"/>
          <w:highlight w:val="lightGray"/>
        </w:rPr>
        <w:t>XYZ Job and Family Services Agency</w:t>
      </w:r>
      <w:r w:rsidRPr="00E0085D">
        <w:rPr>
          <w:rFonts w:ascii="Arial" w:hAnsi="Arial" w:cs="Arial"/>
          <w:color w:val="auto"/>
          <w:sz w:val="20"/>
          <w:szCs w:val="20"/>
        </w:rPr>
        <w:t xml:space="preserve">, Federal funding from the U.S. Department of Health and Human Services. Although these programs were administered at the </w:t>
      </w:r>
      <w:r w:rsidRPr="00E035E5">
        <w:rPr>
          <w:rFonts w:ascii="Arial" w:hAnsi="Arial" w:cs="Arial"/>
          <w:color w:val="auto"/>
          <w:sz w:val="20"/>
          <w:szCs w:val="20"/>
          <w:highlight w:val="lightGray"/>
        </w:rPr>
        <w:t>County</w:t>
      </w:r>
      <w:r w:rsidR="00945E03" w:rsidRPr="00E035E5">
        <w:rPr>
          <w:rFonts w:ascii="Arial" w:hAnsi="Arial" w:cs="Arial"/>
          <w:color w:val="auto"/>
          <w:sz w:val="20"/>
          <w:szCs w:val="20"/>
          <w:highlight w:val="lightGray"/>
        </w:rPr>
        <w:t xml:space="preserve"> </w:t>
      </w:r>
      <w:r w:rsidR="00945E03" w:rsidRPr="00E035E5">
        <w:rPr>
          <w:rFonts w:ascii="Arial" w:hAnsi="Arial" w:cs="Arial"/>
          <w:b/>
          <w:i/>
          <w:color w:val="auto"/>
          <w:sz w:val="20"/>
          <w:szCs w:val="20"/>
          <w:highlight w:val="lightGray"/>
        </w:rPr>
        <w:t xml:space="preserve">or </w:t>
      </w:r>
      <w:r w:rsidR="00945E03" w:rsidRPr="00E035E5">
        <w:rPr>
          <w:rFonts w:ascii="Arial" w:hAnsi="Arial" w:cs="Arial"/>
          <w:color w:val="auto"/>
          <w:sz w:val="20"/>
          <w:szCs w:val="20"/>
          <w:highlight w:val="lightGray"/>
        </w:rPr>
        <w:t>JF</w:t>
      </w:r>
      <w:r w:rsidR="00945E03">
        <w:rPr>
          <w:rFonts w:ascii="Arial" w:hAnsi="Arial" w:cs="Arial"/>
          <w:color w:val="auto"/>
          <w:sz w:val="20"/>
          <w:szCs w:val="20"/>
          <w:highlight w:val="lightGray"/>
        </w:rPr>
        <w:t>S Agency</w:t>
      </w:r>
      <w:r w:rsidRPr="00E0085D">
        <w:rPr>
          <w:rFonts w:ascii="Arial" w:hAnsi="Arial" w:cs="Arial"/>
          <w:color w:val="auto"/>
          <w:sz w:val="20"/>
          <w:szCs w:val="20"/>
        </w:rPr>
        <w:t xml:space="preserve"> level, </w:t>
      </w:r>
      <w:r w:rsidRPr="008F2E72">
        <w:rPr>
          <w:rFonts w:ascii="Arial" w:hAnsi="Arial" w:cs="Arial"/>
          <w:color w:val="auto"/>
          <w:sz w:val="20"/>
          <w:szCs w:val="20"/>
        </w:rPr>
        <w:t xml:space="preserve">in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E0085D">
        <w:rPr>
          <w:rFonts w:ascii="Arial" w:hAnsi="Arial" w:cs="Arial"/>
          <w:color w:val="auto"/>
          <w:sz w:val="20"/>
          <w:szCs w:val="20"/>
        </w:rPr>
        <w:t xml:space="preserve"> ODJFS adjusted the </w:t>
      </w:r>
      <w:r w:rsidR="00945E03" w:rsidRPr="004B0047">
        <w:rPr>
          <w:rFonts w:ascii="Arial" w:hAnsi="Arial" w:cs="Arial"/>
          <w:color w:val="auto"/>
          <w:sz w:val="20"/>
          <w:szCs w:val="20"/>
          <w:highlight w:val="lightGray"/>
        </w:rPr>
        <w:t>County</w:t>
      </w:r>
      <w:r w:rsidR="00945E03">
        <w:rPr>
          <w:rFonts w:ascii="Arial" w:hAnsi="Arial" w:cs="Arial"/>
          <w:color w:val="auto"/>
          <w:sz w:val="20"/>
          <w:szCs w:val="20"/>
          <w:highlight w:val="lightGray"/>
        </w:rPr>
        <w:t>’s</w:t>
      </w:r>
      <w:r w:rsidR="00945E03" w:rsidRPr="004B0047">
        <w:rPr>
          <w:rFonts w:ascii="Arial" w:hAnsi="Arial" w:cs="Arial"/>
          <w:color w:val="auto"/>
          <w:sz w:val="20"/>
          <w:szCs w:val="20"/>
          <w:highlight w:val="lightGray"/>
        </w:rPr>
        <w:t xml:space="preserve"> </w:t>
      </w:r>
      <w:r w:rsidR="00945E03" w:rsidRPr="004B0047">
        <w:rPr>
          <w:rFonts w:ascii="Arial" w:hAnsi="Arial" w:cs="Arial"/>
          <w:b/>
          <w:i/>
          <w:color w:val="auto"/>
          <w:sz w:val="20"/>
          <w:szCs w:val="20"/>
          <w:highlight w:val="lightGray"/>
        </w:rPr>
        <w:t xml:space="preserve">or </w:t>
      </w:r>
      <w:r w:rsidR="00945E03" w:rsidRPr="00945E03">
        <w:rPr>
          <w:rFonts w:ascii="Arial" w:hAnsi="Arial" w:cs="Arial"/>
          <w:color w:val="auto"/>
          <w:sz w:val="20"/>
          <w:szCs w:val="20"/>
          <w:highlight w:val="lightGray"/>
        </w:rPr>
        <w:t>JFS</w:t>
      </w:r>
      <w:r w:rsidR="00945E03" w:rsidRPr="00E035E5">
        <w:rPr>
          <w:rFonts w:ascii="Arial" w:hAnsi="Arial" w:cs="Arial"/>
          <w:color w:val="auto"/>
          <w:sz w:val="20"/>
          <w:szCs w:val="20"/>
          <w:highlight w:val="lightGray"/>
        </w:rPr>
        <w:t xml:space="preserve"> Agency’s</w:t>
      </w:r>
      <w:r w:rsidR="00945E03" w:rsidRPr="00E0085D">
        <w:rPr>
          <w:rFonts w:ascii="Arial" w:hAnsi="Arial" w:cs="Arial"/>
          <w:color w:val="auto"/>
          <w:sz w:val="20"/>
          <w:szCs w:val="20"/>
        </w:rPr>
        <w:t xml:space="preserve"> </w:t>
      </w:r>
      <w:r w:rsidRPr="00E035E5">
        <w:rPr>
          <w:rFonts w:ascii="Arial" w:hAnsi="Arial" w:cs="Arial"/>
          <w:color w:val="auto"/>
          <w:sz w:val="20"/>
          <w:szCs w:val="20"/>
          <w:highlight w:val="lightGray"/>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sidRPr="00E035E5">
        <w:rPr>
          <w:rFonts w:ascii="Arial" w:hAnsi="Arial" w:cs="Arial"/>
          <w:color w:val="auto"/>
          <w:sz w:val="20"/>
          <w:szCs w:val="20"/>
          <w:highlight w:val="lightGray"/>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8F2E72">
        <w:rPr>
          <w:rFonts w:ascii="Arial" w:hAnsi="Arial" w:cs="Arial"/>
          <w:color w:val="auto"/>
          <w:sz w:val="20"/>
          <w:szCs w:val="20"/>
        </w:rPr>
        <w:t xml:space="preserve"> </w:t>
      </w:r>
      <w:r w:rsidRPr="00E0085D">
        <w:rPr>
          <w:rFonts w:ascii="Arial" w:hAnsi="Arial" w:cs="Arial"/>
          <w:color w:val="auto"/>
          <w:sz w:val="20"/>
          <w:szCs w:val="20"/>
        </w:rPr>
        <w:t xml:space="preserve">adjustments affect </w:t>
      </w:r>
      <w:r w:rsidRPr="00E035E5">
        <w:rPr>
          <w:rFonts w:ascii="Arial" w:hAnsi="Arial" w:cs="Arial"/>
          <w:color w:val="auto"/>
          <w:sz w:val="20"/>
          <w:szCs w:val="20"/>
          <w:highlight w:val="lightGray"/>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54C571B0" w:rsidR="00E0085D" w:rsidRDefault="000B220B" w:rsidP="00E0085D">
            <w:pPr>
              <w:pStyle w:val="Default"/>
              <w:rPr>
                <w:rFonts w:ascii="Arial" w:hAnsi="Arial" w:cs="Arial"/>
                <w:b/>
                <w:color w:val="auto"/>
                <w:sz w:val="20"/>
                <w:szCs w:val="20"/>
              </w:rPr>
            </w:pPr>
            <w:r>
              <w:rPr>
                <w:rFonts w:ascii="Arial" w:hAnsi="Arial" w:cs="Arial"/>
                <w:b/>
                <w:color w:val="auto"/>
                <w:sz w:val="20"/>
                <w:szCs w:val="20"/>
              </w:rPr>
              <w:t>AL</w:t>
            </w:r>
            <w:r w:rsidRPr="00E0085D">
              <w:rPr>
                <w:rFonts w:ascii="Arial" w:hAnsi="Arial" w:cs="Arial"/>
                <w:b/>
                <w:color w:val="auto"/>
                <w:sz w:val="20"/>
                <w:szCs w:val="20"/>
              </w:rPr>
              <w:t xml:space="preserve">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5F4C7B9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w:t>
      </w:r>
      <w:r w:rsidR="00945E03" w:rsidRPr="00945E03">
        <w:rPr>
          <w:rFonts w:ascii="Arial" w:hAnsi="Arial" w:cs="Arial"/>
          <w:b/>
          <w:color w:val="548DD4" w:themeColor="text2" w:themeTint="99"/>
          <w:sz w:val="20"/>
          <w:szCs w:val="20"/>
        </w:rPr>
        <w:t xml:space="preserve">Job and Family Services Agencies or </w:t>
      </w:r>
      <w:r w:rsidRPr="00E0085D">
        <w:rPr>
          <w:rFonts w:ascii="Arial" w:hAnsi="Arial" w:cs="Arial"/>
          <w:b/>
          <w:color w:val="548DD4" w:themeColor="text2" w:themeTint="99"/>
          <w:sz w:val="20"/>
          <w:szCs w:val="20"/>
        </w:rPr>
        <w:t xml:space="preserve">county audits in which the Job and Family Services Agency made adjustments between Federal programs that impact the prior year Schedule expenditures reported.  </w:t>
      </w:r>
      <w:r>
        <w:rPr>
          <w:rFonts w:ascii="Arial" w:hAnsi="Arial" w:cs="Arial"/>
          <w:b/>
          <w:color w:val="548DD4" w:themeColor="text2" w:themeTint="99"/>
          <w:sz w:val="20"/>
          <w:szCs w:val="20"/>
        </w:rPr>
        <w:t xml:space="preserve">The note should be modified for the specific situation at each </w:t>
      </w:r>
      <w:r w:rsidR="00945E03">
        <w:rPr>
          <w:rFonts w:ascii="Arial" w:hAnsi="Arial" w:cs="Arial"/>
          <w:b/>
          <w:color w:val="548DD4" w:themeColor="text2" w:themeTint="99"/>
          <w:sz w:val="20"/>
          <w:szCs w:val="20"/>
        </w:rPr>
        <w:t>entity</w:t>
      </w:r>
      <w:r>
        <w:rPr>
          <w:rFonts w:ascii="Arial" w:hAnsi="Arial" w:cs="Arial"/>
          <w:b/>
          <w:color w:val="548DD4" w:themeColor="text2" w:themeTint="99"/>
          <w:sz w:val="20"/>
          <w:szCs w:val="20"/>
        </w:rPr>
        <w:t>.]</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A17157">
      <w:pgSz w:w="12240" w:h="15840" w:code="1"/>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7184" w16cex:dateUtc="2022-10-04T12:47:00Z"/>
  <w16cex:commentExtensible w16cex:durableId="26E67065" w16cex:dateUtc="2022-10-04T12:42:00Z"/>
  <w16cex:commentExtensible w16cex:durableId="26E670CB" w16cex:dateUtc="2022-10-04T12:43:00Z"/>
  <w16cex:commentExtensible w16cex:durableId="26E67114" w16cex:dateUtc="2022-10-04T12:45:00Z"/>
  <w16cex:commentExtensible w16cex:durableId="26E6714E" w16cex:dateUtc="2022-10-04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A7DBEA" w16cid:durableId="26E66ACC"/>
  <w16cid:commentId w16cid:paraId="55B30ED9" w16cid:durableId="26E66ACD"/>
  <w16cid:commentId w16cid:paraId="26882E1F" w16cid:durableId="26E67184"/>
  <w16cid:commentId w16cid:paraId="2EFFBC22" w16cid:durableId="26E66ACE"/>
  <w16cid:commentId w16cid:paraId="497C9F70" w16cid:durableId="26E66ACF"/>
  <w16cid:commentId w16cid:paraId="36B64C01" w16cid:durableId="26E67065"/>
  <w16cid:commentId w16cid:paraId="02193812" w16cid:durableId="26E670CB"/>
  <w16cid:commentId w16cid:paraId="35222B9F" w16cid:durableId="26E67114"/>
  <w16cid:commentId w16cid:paraId="1881E2AB" w16cid:durableId="26E671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 w:id="1">
    <w:p w14:paraId="653D171F" w14:textId="1B5681FF" w:rsidR="00306DCC" w:rsidRDefault="00306DCC">
      <w:pPr>
        <w:pStyle w:val="FootnoteText"/>
      </w:pPr>
      <w:r>
        <w:rPr>
          <w:rStyle w:val="FootnoteReference"/>
        </w:rPr>
        <w:footnoteRef/>
      </w:r>
      <w:r>
        <w:t xml:space="preserve"> Revised </w:t>
      </w:r>
      <w:r w:rsidR="001A665E">
        <w:t>November</w:t>
      </w:r>
      <w:r>
        <w:t xml:space="preserve"> 2022 for </w:t>
      </w:r>
      <w:r w:rsidR="00BC12E4">
        <w:t xml:space="preserve">2022 AICPA </w:t>
      </w:r>
      <w:r w:rsidR="00BC12E4">
        <w:rPr>
          <w:i/>
        </w:rPr>
        <w:t xml:space="preserve">Single Audit Guide </w:t>
      </w:r>
      <w:r w:rsidR="00BC12E4">
        <w:t xml:space="preserve">and </w:t>
      </w:r>
      <w:r>
        <w:t>minor formatting updates. Revisions not marked.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12"/>
  </w:num>
  <w:num w:numId="5">
    <w:abstractNumId w:val="1"/>
  </w:num>
  <w:num w:numId="6">
    <w:abstractNumId w:val="11"/>
  </w:num>
  <w:num w:numId="7">
    <w:abstractNumId w:val="5"/>
  </w:num>
  <w:num w:numId="8">
    <w:abstractNumId w:val="4"/>
  </w:num>
  <w:num w:numId="9">
    <w:abstractNumId w:val="10"/>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8B"/>
    <w:rsid w:val="0003002C"/>
    <w:rsid w:val="00043F14"/>
    <w:rsid w:val="0006488B"/>
    <w:rsid w:val="0006498E"/>
    <w:rsid w:val="00065135"/>
    <w:rsid w:val="000B220B"/>
    <w:rsid w:val="000C07FA"/>
    <w:rsid w:val="000C35BD"/>
    <w:rsid w:val="000D447B"/>
    <w:rsid w:val="000E506F"/>
    <w:rsid w:val="000F3974"/>
    <w:rsid w:val="001164C6"/>
    <w:rsid w:val="00122CDE"/>
    <w:rsid w:val="00124CE0"/>
    <w:rsid w:val="0013069C"/>
    <w:rsid w:val="001501BD"/>
    <w:rsid w:val="0015367C"/>
    <w:rsid w:val="00156327"/>
    <w:rsid w:val="001569CE"/>
    <w:rsid w:val="001719DA"/>
    <w:rsid w:val="0017533B"/>
    <w:rsid w:val="001756D7"/>
    <w:rsid w:val="001A665E"/>
    <w:rsid w:val="001B63B4"/>
    <w:rsid w:val="001C7BF9"/>
    <w:rsid w:val="001E485D"/>
    <w:rsid w:val="001E6F20"/>
    <w:rsid w:val="00205ED5"/>
    <w:rsid w:val="002238AA"/>
    <w:rsid w:val="00233C93"/>
    <w:rsid w:val="002365F7"/>
    <w:rsid w:val="002705DD"/>
    <w:rsid w:val="00276E5E"/>
    <w:rsid w:val="00282CD9"/>
    <w:rsid w:val="00291D93"/>
    <w:rsid w:val="002960A0"/>
    <w:rsid w:val="002A019C"/>
    <w:rsid w:val="002D59E0"/>
    <w:rsid w:val="002E6B0C"/>
    <w:rsid w:val="003019CD"/>
    <w:rsid w:val="00306DCC"/>
    <w:rsid w:val="00321654"/>
    <w:rsid w:val="00325FFD"/>
    <w:rsid w:val="00326282"/>
    <w:rsid w:val="00337D57"/>
    <w:rsid w:val="00342B1A"/>
    <w:rsid w:val="00347885"/>
    <w:rsid w:val="00360C83"/>
    <w:rsid w:val="003640E2"/>
    <w:rsid w:val="00364910"/>
    <w:rsid w:val="00371426"/>
    <w:rsid w:val="003743CB"/>
    <w:rsid w:val="00374968"/>
    <w:rsid w:val="00386343"/>
    <w:rsid w:val="003935EA"/>
    <w:rsid w:val="003974CE"/>
    <w:rsid w:val="003B356A"/>
    <w:rsid w:val="003B61E0"/>
    <w:rsid w:val="003C2B23"/>
    <w:rsid w:val="003C61AC"/>
    <w:rsid w:val="00407B86"/>
    <w:rsid w:val="00411E6B"/>
    <w:rsid w:val="00436BB1"/>
    <w:rsid w:val="00441916"/>
    <w:rsid w:val="004456A3"/>
    <w:rsid w:val="00453267"/>
    <w:rsid w:val="00460E9F"/>
    <w:rsid w:val="0048768C"/>
    <w:rsid w:val="00487BE8"/>
    <w:rsid w:val="00490552"/>
    <w:rsid w:val="00492DF7"/>
    <w:rsid w:val="004A7FB9"/>
    <w:rsid w:val="004B531A"/>
    <w:rsid w:val="004B7621"/>
    <w:rsid w:val="004C469F"/>
    <w:rsid w:val="004E21FD"/>
    <w:rsid w:val="004F4716"/>
    <w:rsid w:val="00500C85"/>
    <w:rsid w:val="00513556"/>
    <w:rsid w:val="00516EE5"/>
    <w:rsid w:val="0052336F"/>
    <w:rsid w:val="00534D95"/>
    <w:rsid w:val="00537512"/>
    <w:rsid w:val="005572C0"/>
    <w:rsid w:val="00582A5A"/>
    <w:rsid w:val="00584E73"/>
    <w:rsid w:val="00591CFB"/>
    <w:rsid w:val="0059214F"/>
    <w:rsid w:val="00594056"/>
    <w:rsid w:val="005C4CCC"/>
    <w:rsid w:val="005C79E6"/>
    <w:rsid w:val="005D5DCC"/>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4736"/>
    <w:rsid w:val="00794BE8"/>
    <w:rsid w:val="007C5794"/>
    <w:rsid w:val="007E3243"/>
    <w:rsid w:val="00835B01"/>
    <w:rsid w:val="008421EE"/>
    <w:rsid w:val="00876266"/>
    <w:rsid w:val="008A6175"/>
    <w:rsid w:val="008D6AAF"/>
    <w:rsid w:val="008E0D16"/>
    <w:rsid w:val="008F2E72"/>
    <w:rsid w:val="00910D6A"/>
    <w:rsid w:val="0091774B"/>
    <w:rsid w:val="00933FC8"/>
    <w:rsid w:val="00936429"/>
    <w:rsid w:val="0094534B"/>
    <w:rsid w:val="00945E03"/>
    <w:rsid w:val="009504FE"/>
    <w:rsid w:val="00963485"/>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66FE4"/>
    <w:rsid w:val="00A9691C"/>
    <w:rsid w:val="00AA15AD"/>
    <w:rsid w:val="00AA20F8"/>
    <w:rsid w:val="00AA409E"/>
    <w:rsid w:val="00AA5C82"/>
    <w:rsid w:val="00AA7160"/>
    <w:rsid w:val="00AC2161"/>
    <w:rsid w:val="00AC52ED"/>
    <w:rsid w:val="00AD6C0E"/>
    <w:rsid w:val="00AE2A12"/>
    <w:rsid w:val="00AE30BC"/>
    <w:rsid w:val="00AF7179"/>
    <w:rsid w:val="00B0095D"/>
    <w:rsid w:val="00B136D2"/>
    <w:rsid w:val="00B239F6"/>
    <w:rsid w:val="00B34AED"/>
    <w:rsid w:val="00B52CF9"/>
    <w:rsid w:val="00B56DFC"/>
    <w:rsid w:val="00B63544"/>
    <w:rsid w:val="00B6457F"/>
    <w:rsid w:val="00B71298"/>
    <w:rsid w:val="00B74AE8"/>
    <w:rsid w:val="00B74FBF"/>
    <w:rsid w:val="00B82442"/>
    <w:rsid w:val="00B852B2"/>
    <w:rsid w:val="00BA6AE2"/>
    <w:rsid w:val="00BC12E4"/>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C7ACA"/>
    <w:rsid w:val="00CE6361"/>
    <w:rsid w:val="00CF2D58"/>
    <w:rsid w:val="00CF7752"/>
    <w:rsid w:val="00D1776C"/>
    <w:rsid w:val="00D217AC"/>
    <w:rsid w:val="00D32245"/>
    <w:rsid w:val="00D34092"/>
    <w:rsid w:val="00D42860"/>
    <w:rsid w:val="00D82195"/>
    <w:rsid w:val="00D839A0"/>
    <w:rsid w:val="00D876BA"/>
    <w:rsid w:val="00D9231F"/>
    <w:rsid w:val="00D929A9"/>
    <w:rsid w:val="00DA3D9E"/>
    <w:rsid w:val="00DA4993"/>
    <w:rsid w:val="00DC27DB"/>
    <w:rsid w:val="00DF0B4B"/>
    <w:rsid w:val="00E0085D"/>
    <w:rsid w:val="00E035E5"/>
    <w:rsid w:val="00E06992"/>
    <w:rsid w:val="00E12A37"/>
    <w:rsid w:val="00E13A17"/>
    <w:rsid w:val="00E15EB2"/>
    <w:rsid w:val="00E21C92"/>
    <w:rsid w:val="00E25601"/>
    <w:rsid w:val="00E27187"/>
    <w:rsid w:val="00E30B8E"/>
    <w:rsid w:val="00E36DD7"/>
    <w:rsid w:val="00E413E3"/>
    <w:rsid w:val="00E5583D"/>
    <w:rsid w:val="00E55C19"/>
    <w:rsid w:val="00E57B1C"/>
    <w:rsid w:val="00E62687"/>
    <w:rsid w:val="00E62A4F"/>
    <w:rsid w:val="00E66892"/>
    <w:rsid w:val="00E67313"/>
    <w:rsid w:val="00E700F3"/>
    <w:rsid w:val="00E72C01"/>
    <w:rsid w:val="00E95E49"/>
    <w:rsid w:val="00E97528"/>
    <w:rsid w:val="00E9787D"/>
    <w:rsid w:val="00EB179A"/>
    <w:rsid w:val="00EB3AEE"/>
    <w:rsid w:val="00ED65B3"/>
    <w:rsid w:val="00EE3C93"/>
    <w:rsid w:val="00F0247B"/>
    <w:rsid w:val="00F0249C"/>
    <w:rsid w:val="00F076C6"/>
    <w:rsid w:val="00F14F9E"/>
    <w:rsid w:val="00F212F8"/>
    <w:rsid w:val="00F25734"/>
    <w:rsid w:val="00F33A8B"/>
    <w:rsid w:val="00F35108"/>
    <w:rsid w:val="00F5442D"/>
    <w:rsid w:val="00F73003"/>
    <w:rsid w:val="00F7532F"/>
    <w:rsid w:val="00F8197B"/>
    <w:rsid w:val="00F864B8"/>
    <w:rsid w:val="00FC6BE5"/>
    <w:rsid w:val="00FC7B05"/>
    <w:rsid w:val="00FE12BE"/>
    <w:rsid w:val="00FF056E"/>
    <w:rsid w:val="00FF4F74"/>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 w:type="paragraph" w:styleId="Revision">
    <w:name w:val="Revision"/>
    <w:hidden/>
    <w:uiPriority w:val="99"/>
    <w:semiHidden/>
    <w:rsid w:val="003649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6D44-D60F-4B17-AB1E-234E10BA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58DBB-4267-4B3C-940D-738D9305EE1F}">
  <ds:schemaRefs>
    <ds:schemaRef ds:uri="http://schemas.microsoft.com/sharepoint/v3/contenttype/forms"/>
  </ds:schemaRefs>
</ds:datastoreItem>
</file>

<file path=customXml/itemProps3.xml><?xml version="1.0" encoding="utf-8"?>
<ds:datastoreItem xmlns:ds="http://schemas.openxmlformats.org/officeDocument/2006/customXml" ds:itemID="{1146D307-F575-4E30-AD05-8BBE1AF42F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D8E72C14-EBF8-4C02-B851-0E6D6A99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1741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Amanda M. Stidham</cp:lastModifiedBy>
  <cp:revision>13</cp:revision>
  <dcterms:created xsi:type="dcterms:W3CDTF">2022-10-04T13:52:00Z</dcterms:created>
  <dcterms:modified xsi:type="dcterms:W3CDTF">2022-10-04T14:56:00Z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