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0DA7" w14:textId="6C8EFCC6" w:rsidR="00A06A46" w:rsidRDefault="00016A99" w:rsidP="00EB4B63">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2C9D6D48" w14:textId="77777777" w:rsidR="00A06A46" w:rsidRDefault="00A06A46" w:rsidP="00EB4B63">
      <w:pPr>
        <w:tabs>
          <w:tab w:val="left" w:pos="0"/>
          <w:tab w:val="left" w:pos="547"/>
          <w:tab w:val="left" w:pos="936"/>
          <w:tab w:val="left" w:pos="1440"/>
          <w:tab w:val="left" w:pos="1987"/>
        </w:tabs>
        <w:jc w:val="center"/>
        <w:rPr>
          <w:b/>
        </w:rPr>
      </w:pPr>
    </w:p>
    <w:p w14:paraId="01E58329" w14:textId="77777777" w:rsidR="000974C0" w:rsidRPr="000974C0" w:rsidRDefault="000974C0" w:rsidP="000974C0">
      <w:pPr>
        <w:tabs>
          <w:tab w:val="left" w:pos="0"/>
          <w:tab w:val="left" w:pos="547"/>
          <w:tab w:val="left" w:pos="936"/>
          <w:tab w:val="left" w:pos="1440"/>
          <w:tab w:val="left" w:pos="1987"/>
        </w:tabs>
        <w:jc w:val="center"/>
        <w:rPr>
          <w:b/>
          <w:color w:val="000000"/>
        </w:rPr>
      </w:pPr>
      <w:r w:rsidRPr="000974C0">
        <w:rPr>
          <w:b/>
          <w:color w:val="000000"/>
        </w:rPr>
        <w:t>Disclaimer of Opinion because the Representation Letter is not signed/provided</w:t>
      </w:r>
    </w:p>
    <w:p w14:paraId="4E6F2784" w14:textId="57D0D76E" w:rsidR="00EB4B63" w:rsidRPr="004C00CD" w:rsidRDefault="00D648C7" w:rsidP="000974C0">
      <w:pPr>
        <w:tabs>
          <w:tab w:val="left" w:pos="0"/>
          <w:tab w:val="left" w:pos="547"/>
          <w:tab w:val="left" w:pos="936"/>
          <w:tab w:val="left" w:pos="1440"/>
          <w:tab w:val="left" w:pos="1987"/>
        </w:tabs>
        <w:jc w:val="center"/>
        <w:rPr>
          <w:b/>
        </w:rPr>
      </w:pPr>
      <w:r>
        <w:rPr>
          <w:b/>
          <w:noProof/>
          <w:color w:val="FF0000"/>
        </w:rPr>
        <mc:AlternateContent>
          <mc:Choice Requires="wps">
            <w:drawing>
              <wp:anchor distT="0" distB="0" distL="114300" distR="114300" simplePos="0" relativeHeight="251661312" behindDoc="0" locked="0" layoutInCell="1" allowOverlap="1" wp14:anchorId="08C9B215" wp14:editId="2C98D4E2">
                <wp:simplePos x="0" y="0"/>
                <wp:positionH relativeFrom="column">
                  <wp:posOffset>-669472</wp:posOffset>
                </wp:positionH>
                <wp:positionV relativeFrom="paragraph">
                  <wp:posOffset>186236</wp:posOffset>
                </wp:positionV>
                <wp:extent cx="2413000" cy="38100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2413000" cy="381000"/>
                        </a:xfrm>
                        <a:prstGeom prst="rect">
                          <a:avLst/>
                        </a:prstGeom>
                        <a:solidFill>
                          <a:srgbClr val="FFFF00"/>
                        </a:solidFill>
                        <a:ln w="6350">
                          <a:solidFill>
                            <a:prstClr val="black"/>
                          </a:solidFill>
                        </a:ln>
                      </wps:spPr>
                      <wps:txbx>
                        <w:txbxContent>
                          <w:p w14:paraId="42B054A7" w14:textId="3B83825B" w:rsidR="00D648C7" w:rsidRPr="00D648C7" w:rsidRDefault="00D648C7" w:rsidP="00D648C7">
                            <w:pPr>
                              <w:rPr>
                                <w:color w:val="FFFF00"/>
                                <w:sz w:val="16"/>
                                <w:szCs w:val="16"/>
                              </w:rPr>
                            </w:pPr>
                            <w:r w:rsidRPr="00D648C7">
                              <w:rPr>
                                <w:sz w:val="16"/>
                                <w:szCs w:val="16"/>
                              </w:rPr>
                              <w:t xml:space="preserve">Click </w:t>
                            </w:r>
                            <w:hyperlink r:id="rId11" w:history="1">
                              <w:r w:rsidRPr="00D648C7">
                                <w:rPr>
                                  <w:rStyle w:val="Hyperlink"/>
                                  <w:sz w:val="16"/>
                                  <w:szCs w:val="16"/>
                                </w:rPr>
                                <w:t>here</w:t>
                              </w:r>
                            </w:hyperlink>
                            <w:r w:rsidRPr="00D648C7">
                              <w:rPr>
                                <w:sz w:val="16"/>
                                <w:szCs w:val="16"/>
                              </w:rPr>
                              <w:t xml:space="preserve"> for instructions on how to fill in </w:t>
                            </w:r>
                            <w:r w:rsidR="00DC299E" w:rsidRPr="00DC299E">
                              <w:rPr>
                                <w:sz w:val="16"/>
                                <w:szCs w:val="16"/>
                                <w:highlight w:val="yellow"/>
                              </w:rPr>
                              <w:t>Entity</w:t>
                            </w:r>
                            <w:r w:rsidRPr="00D648C7">
                              <w:rPr>
                                <w:sz w:val="16"/>
                                <w:szCs w:val="16"/>
                              </w:rPr>
                              <w:t xml:space="preserve"> specific parameters within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9B215" id="_x0000_t202" coordsize="21600,21600" o:spt="202" path="m,l,21600r21600,l21600,xe">
                <v:stroke joinstyle="miter"/>
                <v:path gradientshapeok="t" o:connecttype="rect"/>
              </v:shapetype>
              <v:shape id="Text Box 6" o:spid="_x0000_s1026" type="#_x0000_t202" style="position:absolute;left:0;text-align:left;margin-left:-52.7pt;margin-top:14.65pt;width:190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" fillcolor="yellow" strokeweight=".5pt">
                <v:textbox>
                  <w:txbxContent>
                    <w:p w14:paraId="42B054A7" w14:textId="3B83825B" w:rsidR="00D648C7" w:rsidRPr="00D648C7" w:rsidRDefault="00D648C7" w:rsidP="00D648C7">
                      <w:pPr>
                        <w:rPr>
                          <w:color w:val="FFFF00"/>
                          <w:sz w:val="16"/>
                          <w:szCs w:val="16"/>
                        </w:rPr>
                      </w:pPr>
                      <w:r w:rsidRPr="00D648C7">
                        <w:rPr>
                          <w:sz w:val="16"/>
                          <w:szCs w:val="16"/>
                        </w:rPr>
                        <w:t xml:space="preserve">Click </w:t>
                      </w:r>
                      <w:hyperlink r:id="rId12" w:history="1">
                        <w:r w:rsidRPr="00D648C7">
                          <w:rPr>
                            <w:rStyle w:val="Hyperlink"/>
                            <w:sz w:val="16"/>
                            <w:szCs w:val="16"/>
                          </w:rPr>
                          <w:t>here</w:t>
                        </w:r>
                      </w:hyperlink>
                      <w:r w:rsidRPr="00D648C7">
                        <w:rPr>
                          <w:sz w:val="16"/>
                          <w:szCs w:val="16"/>
                        </w:rPr>
                        <w:t xml:space="preserve"> for instructions on how to fill in </w:t>
                      </w:r>
                      <w:r w:rsidR="00DC299E" w:rsidRPr="00DC299E">
                        <w:rPr>
                          <w:sz w:val="16"/>
                          <w:szCs w:val="16"/>
                          <w:highlight w:val="yellow"/>
                        </w:rPr>
                        <w:t>Entity</w:t>
                      </w:r>
                      <w:r w:rsidRPr="00D648C7">
                        <w:rPr>
                          <w:sz w:val="16"/>
                          <w:szCs w:val="16"/>
                        </w:rPr>
                        <w:t xml:space="preserve"> specific parameters within this document</w:t>
                      </w:r>
                    </w:p>
                  </w:txbxContent>
                </v:textbox>
              </v:shape>
            </w:pict>
          </mc:Fallback>
        </mc:AlternateContent>
      </w:r>
    </w:p>
    <w:p w14:paraId="194BC7C6" w14:textId="77777777" w:rsidR="00EB4B63" w:rsidRPr="004C00CD" w:rsidRDefault="00EB4B63" w:rsidP="00B75D2C">
      <w:pPr>
        <w:tabs>
          <w:tab w:val="left" w:pos="0"/>
          <w:tab w:val="left" w:pos="547"/>
          <w:tab w:val="left" w:pos="936"/>
          <w:tab w:val="left" w:pos="1440"/>
          <w:tab w:val="left" w:pos="1987"/>
          <w:tab w:val="center" w:pos="4680"/>
          <w:tab w:val="left" w:pos="7440"/>
        </w:tabs>
        <w:jc w:val="center"/>
        <w:rPr>
          <w:b/>
        </w:rPr>
      </w:pPr>
    </w:p>
    <w:p w14:paraId="0E918097" w14:textId="25889F0B" w:rsidR="00EB4B63" w:rsidRPr="004C00CD" w:rsidRDefault="00EB4B63" w:rsidP="00EB4B63">
      <w:pPr>
        <w:tabs>
          <w:tab w:val="left" w:pos="0"/>
          <w:tab w:val="left" w:pos="547"/>
          <w:tab w:val="left" w:pos="936"/>
          <w:tab w:val="left" w:pos="1440"/>
          <w:tab w:val="left" w:pos="1987"/>
        </w:tabs>
        <w:jc w:val="center"/>
        <w:rPr>
          <w:b/>
        </w:rPr>
      </w:pPr>
      <w:r w:rsidRPr="004C00CD">
        <w:rPr>
          <w:b/>
        </w:rPr>
        <w:t>INDEPENDENT AUDITOR’S REPORT</w:t>
      </w:r>
      <w:r w:rsidRPr="004C00CD">
        <w:rPr>
          <w:rStyle w:val="FootnoteReference"/>
          <w:b/>
        </w:rPr>
        <w:footnoteReference w:id="1"/>
      </w:r>
    </w:p>
    <w:p w14:paraId="7EFED5FA" w14:textId="77777777" w:rsidR="00EB4B63" w:rsidRPr="004C00CD" w:rsidRDefault="00EB4B63" w:rsidP="00EB4B63">
      <w:pPr>
        <w:tabs>
          <w:tab w:val="left" w:pos="0"/>
          <w:tab w:val="left" w:pos="547"/>
          <w:tab w:val="left" w:pos="936"/>
          <w:tab w:val="left" w:pos="1440"/>
          <w:tab w:val="left" w:pos="1987"/>
        </w:tabs>
      </w:pPr>
    </w:p>
    <w:p w14:paraId="1163CFB5" w14:textId="77777777" w:rsidR="00EB4B63" w:rsidRPr="004C00CD" w:rsidRDefault="00EB4B63" w:rsidP="00EB4B63">
      <w:pPr>
        <w:tabs>
          <w:tab w:val="left" w:pos="0"/>
          <w:tab w:val="left" w:pos="547"/>
          <w:tab w:val="left" w:pos="936"/>
          <w:tab w:val="left" w:pos="1440"/>
          <w:tab w:val="left" w:pos="1987"/>
        </w:tabs>
      </w:pPr>
    </w:p>
    <w:p w14:paraId="3D241E35" w14:textId="554EF0BF" w:rsidR="00EB4B63" w:rsidRPr="004C00CD" w:rsidRDefault="007A0713" w:rsidP="00EB4B63">
      <w:pPr>
        <w:tabs>
          <w:tab w:val="left" w:pos="0"/>
          <w:tab w:val="left" w:pos="547"/>
          <w:tab w:val="left" w:pos="907"/>
          <w:tab w:val="left" w:pos="1440"/>
          <w:tab w:val="left" w:pos="1987"/>
        </w:tabs>
      </w:pPr>
      <w:r>
        <w:rPr>
          <w:highlight w:val="lightGray"/>
        </w:rPr>
        <w:t>Entity Name</w:t>
      </w:r>
    </w:p>
    <w:p w14:paraId="2DA7ADB9" w14:textId="726DBB91" w:rsidR="00EB4B63" w:rsidRPr="004C00CD" w:rsidRDefault="007A0713" w:rsidP="00EB4B63">
      <w:pPr>
        <w:tabs>
          <w:tab w:val="left" w:pos="0"/>
          <w:tab w:val="left" w:pos="547"/>
          <w:tab w:val="left" w:pos="936"/>
          <w:tab w:val="left" w:pos="1440"/>
          <w:tab w:val="left" w:pos="1987"/>
        </w:tabs>
        <w:rPr>
          <w:color w:val="000000"/>
        </w:rPr>
      </w:pPr>
      <w:r>
        <w:rPr>
          <w:highlight w:val="lightGray"/>
        </w:rPr>
        <w:t>County Name</w:t>
      </w:r>
    </w:p>
    <w:p w14:paraId="14C05D37" w14:textId="0B1BDEDD" w:rsidR="00EB4B63" w:rsidRPr="004C00CD" w:rsidRDefault="007A0713" w:rsidP="00EB4B63">
      <w:pPr>
        <w:tabs>
          <w:tab w:val="left" w:pos="0"/>
          <w:tab w:val="left" w:pos="547"/>
          <w:tab w:val="left" w:pos="936"/>
          <w:tab w:val="left" w:pos="1440"/>
          <w:tab w:val="left" w:pos="1987"/>
        </w:tabs>
        <w:rPr>
          <w:rStyle w:val="footnoteref"/>
        </w:rPr>
      </w:pPr>
      <w:r>
        <w:rPr>
          <w:rStyle w:val="footnoteref"/>
        </w:rPr>
        <w:t>Street Address</w:t>
      </w:r>
    </w:p>
    <w:p w14:paraId="32C4B3A4" w14:textId="57EB3BC4" w:rsidR="00EB4B63" w:rsidRPr="004C00CD" w:rsidRDefault="007A0713" w:rsidP="00EB4B63">
      <w:pPr>
        <w:tabs>
          <w:tab w:val="left" w:pos="0"/>
          <w:tab w:val="left" w:pos="547"/>
          <w:tab w:val="left" w:pos="936"/>
          <w:tab w:val="left" w:pos="1440"/>
          <w:tab w:val="left" w:pos="1987"/>
        </w:tabs>
        <w:rPr>
          <w:rStyle w:val="footnoteref"/>
        </w:rPr>
      </w:pPr>
      <w:r>
        <w:rPr>
          <w:rStyle w:val="footnoteref"/>
        </w:rPr>
        <w:t>City, Ohio Zip Code</w:t>
      </w:r>
    </w:p>
    <w:p w14:paraId="3F2C57F2" w14:textId="77777777" w:rsidR="00EB4B63" w:rsidRPr="004C00CD" w:rsidRDefault="00EB4B63" w:rsidP="00EB4B63">
      <w:pPr>
        <w:tabs>
          <w:tab w:val="left" w:pos="0"/>
          <w:tab w:val="left" w:pos="547"/>
          <w:tab w:val="left" w:pos="936"/>
          <w:tab w:val="left" w:pos="1440"/>
          <w:tab w:val="left" w:pos="1987"/>
        </w:tabs>
        <w:rPr>
          <w:rStyle w:val="footnoteref"/>
        </w:rPr>
      </w:pPr>
    </w:p>
    <w:p w14:paraId="6E94A44F" w14:textId="77777777" w:rsidR="00350355" w:rsidRDefault="00350355" w:rsidP="00350355">
      <w:pPr>
        <w:tabs>
          <w:tab w:val="left" w:pos="0"/>
          <w:tab w:val="left" w:pos="547"/>
          <w:tab w:val="left" w:pos="936"/>
          <w:tab w:val="left" w:pos="1440"/>
          <w:tab w:val="left" w:pos="1987"/>
        </w:tabs>
        <w:jc w:val="both"/>
        <w:rPr>
          <w:rStyle w:val="footnoteref"/>
        </w:rPr>
      </w:pPr>
      <w:r>
        <w:rPr>
          <w:rStyle w:val="footnoteref"/>
        </w:rPr>
        <w:t>To the Governing Body:</w:t>
      </w:r>
    </w:p>
    <w:p w14:paraId="03FEC570" w14:textId="5994CDB2" w:rsidR="00EB4B63" w:rsidRPr="004C00CD" w:rsidRDefault="00EB4B63" w:rsidP="00350355">
      <w:pPr>
        <w:tabs>
          <w:tab w:val="left" w:pos="0"/>
          <w:tab w:val="left" w:pos="547"/>
          <w:tab w:val="left" w:pos="936"/>
          <w:tab w:val="left" w:pos="1440"/>
          <w:tab w:val="left" w:pos="1987"/>
        </w:tabs>
        <w:rPr>
          <w:color w:val="000000"/>
        </w:rPr>
      </w:pPr>
    </w:p>
    <w:p w14:paraId="5FE90CA3" w14:textId="77777777" w:rsidR="00EB4B63" w:rsidRPr="00283937" w:rsidRDefault="00EB4B63" w:rsidP="00EB4B63">
      <w:pPr>
        <w:rPr>
          <w:b/>
        </w:rPr>
      </w:pPr>
      <w:r w:rsidRPr="00283937">
        <w:rPr>
          <w:b/>
        </w:rPr>
        <w:t>Report on the Audit of the Financial Statements</w:t>
      </w:r>
    </w:p>
    <w:p w14:paraId="0A96B6D7" w14:textId="77777777" w:rsidR="00EB4B63" w:rsidRPr="004C00CD" w:rsidRDefault="00EB4B63" w:rsidP="00EB4B63">
      <w:pPr>
        <w:widowControl w:val="0"/>
        <w:tabs>
          <w:tab w:val="left" w:pos="0"/>
          <w:tab w:val="left" w:pos="547"/>
          <w:tab w:val="left" w:pos="936"/>
          <w:tab w:val="left" w:pos="1440"/>
          <w:tab w:val="left" w:pos="1987"/>
        </w:tabs>
        <w:autoSpaceDE w:val="0"/>
        <w:autoSpaceDN w:val="0"/>
        <w:adjustRightInd w:val="0"/>
        <w:rPr>
          <w:b/>
          <w:i/>
        </w:rPr>
      </w:pPr>
    </w:p>
    <w:p w14:paraId="52F0FF9D" w14:textId="23FB52DC" w:rsidR="00EB4B63" w:rsidRDefault="000974C0" w:rsidP="00EB4B63">
      <w:pPr>
        <w:widowControl w:val="0"/>
        <w:tabs>
          <w:tab w:val="left" w:pos="0"/>
          <w:tab w:val="left" w:pos="547"/>
          <w:tab w:val="left" w:pos="936"/>
          <w:tab w:val="left" w:pos="1440"/>
          <w:tab w:val="left" w:pos="1987"/>
        </w:tabs>
        <w:autoSpaceDE w:val="0"/>
        <w:autoSpaceDN w:val="0"/>
        <w:adjustRightInd w:val="0"/>
        <w:rPr>
          <w:b/>
          <w:i/>
        </w:rPr>
      </w:pPr>
      <w:r>
        <w:rPr>
          <w:b/>
          <w:i/>
        </w:rPr>
        <w:t xml:space="preserve">Disclaimer of </w:t>
      </w:r>
      <w:r w:rsidR="00EB4B63" w:rsidRPr="00214F46">
        <w:rPr>
          <w:b/>
          <w:i/>
        </w:rPr>
        <w:t>Opinion</w:t>
      </w:r>
    </w:p>
    <w:p w14:paraId="39491422" w14:textId="77777777" w:rsidR="00016A99" w:rsidRPr="004C00CD" w:rsidRDefault="00016A99" w:rsidP="00EB4B63">
      <w:pPr>
        <w:widowControl w:val="0"/>
        <w:tabs>
          <w:tab w:val="left" w:pos="0"/>
          <w:tab w:val="left" w:pos="547"/>
          <w:tab w:val="left" w:pos="936"/>
          <w:tab w:val="left" w:pos="1440"/>
          <w:tab w:val="left" w:pos="1987"/>
        </w:tabs>
        <w:autoSpaceDE w:val="0"/>
        <w:autoSpaceDN w:val="0"/>
        <w:adjustRightInd w:val="0"/>
        <w:rPr>
          <w:b/>
          <w:i/>
        </w:rPr>
      </w:pPr>
    </w:p>
    <w:p w14:paraId="028B1C01" w14:textId="2C11BFA4" w:rsidR="00EB4B63" w:rsidRPr="000974C0" w:rsidRDefault="00EB4B63" w:rsidP="00EB4B63">
      <w:pPr>
        <w:widowControl w:val="0"/>
        <w:tabs>
          <w:tab w:val="left" w:pos="0"/>
          <w:tab w:val="left" w:pos="547"/>
          <w:tab w:val="left" w:pos="936"/>
          <w:tab w:val="left" w:pos="1440"/>
          <w:tab w:val="left" w:pos="1987"/>
        </w:tabs>
        <w:autoSpaceDE w:val="0"/>
        <w:autoSpaceDN w:val="0"/>
        <w:adjustRightInd w:val="0"/>
        <w:jc w:val="both"/>
        <w:rPr>
          <w:highlight w:val="yellow"/>
        </w:rPr>
      </w:pPr>
      <w:r w:rsidRPr="00C507B9">
        <w:t xml:space="preserve">We </w:t>
      </w:r>
      <w:r w:rsidR="000974C0" w:rsidRPr="00C507B9">
        <w:t>were engaged to a</w:t>
      </w:r>
      <w:r w:rsidRPr="00C507B9">
        <w:t xml:space="preserve">udit the </w:t>
      </w:r>
      <w:r w:rsidRPr="00C507B9">
        <w:rPr>
          <w:highlight w:val="yellow"/>
        </w:rPr>
        <w:t xml:space="preserve">financial statements of the governmental activities, the business-type activities, the </w:t>
      </w:r>
      <w:r w:rsidRPr="00C507B9">
        <w:rPr>
          <w:b/>
          <w:highlight w:val="yellow"/>
        </w:rPr>
        <w:t>[aggregate]</w:t>
      </w:r>
      <w:r w:rsidRPr="00C507B9">
        <w:rPr>
          <w:highlight w:val="yellow"/>
        </w:rPr>
        <w:t xml:space="preserve"> discretely presented component unit</w:t>
      </w:r>
      <w:r w:rsidRPr="00C507B9">
        <w:rPr>
          <w:b/>
          <w:highlight w:val="yellow"/>
        </w:rPr>
        <w:t>(s),</w:t>
      </w:r>
      <w:r w:rsidRPr="00C507B9">
        <w:rPr>
          <w:highlight w:val="yellow"/>
        </w:rPr>
        <w:t xml:space="preserve"> each major fund, and the aggregate remaining fund information</w:t>
      </w:r>
      <w:r w:rsidRPr="00C507B9">
        <w:rPr>
          <w:rStyle w:val="EndnoteReference"/>
        </w:rPr>
        <w:endnoteReference w:id="1"/>
      </w:r>
      <w:r w:rsidR="00C507B9">
        <w:rPr>
          <w:rStyle w:val="EndnoteReference"/>
          <w:highlight w:val="yellow"/>
        </w:rPr>
        <w:endnoteReference w:id="2"/>
      </w:r>
      <w:r w:rsidR="00C507B9" w:rsidRPr="00C507B9">
        <w:t xml:space="preserve"> </w:t>
      </w:r>
      <w:r w:rsidRPr="00C507B9">
        <w:t xml:space="preserve">of the </w:t>
      </w:r>
      <w:r w:rsidR="007A0713" w:rsidRPr="008C3F9E">
        <w:rPr>
          <w:highlight w:val="lightGray"/>
        </w:rPr>
        <w:t>Entity Name</w:t>
      </w:r>
      <w:r w:rsidRPr="00C507B9">
        <w:t xml:space="preserve">, </w:t>
      </w:r>
      <w:r w:rsidR="007A0713" w:rsidRPr="008C3F9E">
        <w:rPr>
          <w:highlight w:val="lightGray"/>
        </w:rPr>
        <w:t>County Name</w:t>
      </w:r>
      <w:r w:rsidRPr="00C507B9">
        <w:t>, Ohio (</w:t>
      </w:r>
      <w:r w:rsidR="00DC299E" w:rsidRPr="008C3F9E">
        <w:rPr>
          <w:highlight w:val="lightGray"/>
        </w:rPr>
        <w:t>Entity</w:t>
      </w:r>
      <w:r w:rsidRPr="00C507B9">
        <w:t>)</w:t>
      </w:r>
      <w:r w:rsidRPr="00C507B9">
        <w:rPr>
          <w:rStyle w:val="EndnoteReference"/>
        </w:rPr>
        <w:t xml:space="preserve"> </w:t>
      </w:r>
      <w:r w:rsidRPr="00C507B9">
        <w:rPr>
          <w:rStyle w:val="EndnoteReference"/>
        </w:rPr>
        <w:endnoteReference w:id="3"/>
      </w:r>
      <w:r w:rsidRPr="00C507B9">
        <w:t xml:space="preserve">, as of and for the year ended </w:t>
      </w:r>
      <w:r w:rsidR="007A0713" w:rsidRPr="008C3F9E">
        <w:rPr>
          <w:highlight w:val="lightGray"/>
        </w:rPr>
        <w:t>FYE Date</w:t>
      </w:r>
      <w:r w:rsidRPr="00C507B9">
        <w:t xml:space="preserve">, and the related notes to the financial statements, which collectively comprise the </w:t>
      </w:r>
      <w:r w:rsidR="00DC299E" w:rsidRPr="008C3F9E">
        <w:rPr>
          <w:highlight w:val="lightGray"/>
        </w:rPr>
        <w:t>Entity</w:t>
      </w:r>
      <w:r w:rsidRPr="00C507B9">
        <w:t>’s basic financial statements as listed in the table of contents.</w:t>
      </w:r>
      <w:r w:rsidRPr="000974C0">
        <w:rPr>
          <w:highlight w:val="yellow"/>
        </w:rPr>
        <w:t xml:space="preserve">  </w:t>
      </w:r>
    </w:p>
    <w:p w14:paraId="2DBE1068" w14:textId="77777777" w:rsidR="00EB4B63" w:rsidRPr="000974C0" w:rsidRDefault="00EB4B63" w:rsidP="00EB4B63">
      <w:pPr>
        <w:tabs>
          <w:tab w:val="left" w:pos="0"/>
          <w:tab w:val="left" w:pos="547"/>
          <w:tab w:val="left" w:pos="936"/>
          <w:tab w:val="left" w:pos="1440"/>
          <w:tab w:val="left" w:pos="1987"/>
        </w:tabs>
        <w:jc w:val="both"/>
        <w:rPr>
          <w:highlight w:val="yellow"/>
        </w:rPr>
      </w:pPr>
    </w:p>
    <w:p w14:paraId="24FBC101" w14:textId="0CE5CC77" w:rsidR="000974C0" w:rsidRDefault="00E37FF8" w:rsidP="00016A99">
      <w:pPr>
        <w:tabs>
          <w:tab w:val="left" w:pos="0"/>
          <w:tab w:val="left" w:pos="547"/>
          <w:tab w:val="left" w:pos="936"/>
          <w:tab w:val="left" w:pos="1440"/>
          <w:tab w:val="left" w:pos="1987"/>
        </w:tabs>
        <w:jc w:val="both"/>
        <w:rPr>
          <w:color w:val="000000"/>
        </w:rPr>
      </w:pPr>
      <w:r w:rsidRPr="002B637F">
        <w:rPr>
          <w:color w:val="000000"/>
        </w:rPr>
        <w:t xml:space="preserve">We do not express an opinion on the accompanying financial statements of </w:t>
      </w:r>
      <w:r w:rsidR="00DC72B6" w:rsidRPr="002B637F">
        <w:rPr>
          <w:color w:val="000000"/>
        </w:rPr>
        <w:t xml:space="preserve">the </w:t>
      </w:r>
      <w:r w:rsidRPr="008C3F9E">
        <w:rPr>
          <w:highlight w:val="lightGray"/>
        </w:rPr>
        <w:t>Entity</w:t>
      </w:r>
      <w:r w:rsidRPr="002B637F">
        <w:t xml:space="preserve">.  </w:t>
      </w:r>
      <w:r w:rsidRPr="002B637F">
        <w:rPr>
          <w:color w:val="000000"/>
        </w:rPr>
        <w:t>Because of the significance of the matter(s) described in the Basis for Disclaimer of Opinion section of our report, we have not been able to obtain sufficient appropriate audit evidence to provide a basis for an audit opinion on the financial statements.</w:t>
      </w:r>
    </w:p>
    <w:p w14:paraId="10D4FE7A" w14:textId="77777777" w:rsidR="000974C0" w:rsidRPr="000974C0" w:rsidRDefault="000974C0" w:rsidP="00016A99">
      <w:pPr>
        <w:tabs>
          <w:tab w:val="left" w:pos="0"/>
          <w:tab w:val="left" w:pos="547"/>
          <w:tab w:val="left" w:pos="936"/>
          <w:tab w:val="left" w:pos="1440"/>
          <w:tab w:val="left" w:pos="1987"/>
        </w:tabs>
        <w:jc w:val="both"/>
      </w:pPr>
    </w:p>
    <w:p w14:paraId="6822F5C2" w14:textId="27E7FFAF" w:rsidR="00EB4B63" w:rsidRDefault="00EB4B63" w:rsidP="00EB4B63">
      <w:pPr>
        <w:pStyle w:val="Default"/>
        <w:rPr>
          <w:rFonts w:ascii="Arial" w:hAnsi="Arial" w:cs="Arial"/>
          <w:b/>
          <w:bCs/>
          <w:i/>
          <w:iCs/>
          <w:sz w:val="20"/>
          <w:szCs w:val="20"/>
        </w:rPr>
      </w:pPr>
      <w:r w:rsidRPr="00214F46">
        <w:rPr>
          <w:rFonts w:ascii="Arial" w:hAnsi="Arial" w:cs="Arial"/>
          <w:b/>
          <w:bCs/>
          <w:i/>
          <w:iCs/>
          <w:sz w:val="20"/>
          <w:szCs w:val="20"/>
        </w:rPr>
        <w:t xml:space="preserve">Basis for </w:t>
      </w:r>
      <w:r w:rsidR="000974C0">
        <w:rPr>
          <w:rFonts w:ascii="Arial" w:hAnsi="Arial" w:cs="Arial"/>
          <w:b/>
          <w:bCs/>
          <w:i/>
          <w:iCs/>
          <w:sz w:val="20"/>
          <w:szCs w:val="20"/>
        </w:rPr>
        <w:t>Disclaimer of Opinion</w:t>
      </w:r>
      <w:r w:rsidR="00C507B9">
        <w:rPr>
          <w:rStyle w:val="EndnoteReference"/>
          <w:rFonts w:ascii="Arial" w:hAnsi="Arial" w:cs="Arial"/>
          <w:b/>
          <w:bCs/>
          <w:i/>
          <w:iCs/>
          <w:sz w:val="20"/>
          <w:szCs w:val="20"/>
        </w:rPr>
        <w:endnoteReference w:id="4"/>
      </w:r>
      <w:r w:rsidRPr="004C00CD">
        <w:rPr>
          <w:rFonts w:ascii="Arial" w:hAnsi="Arial" w:cs="Arial"/>
          <w:b/>
          <w:bCs/>
          <w:i/>
          <w:iCs/>
          <w:sz w:val="20"/>
          <w:szCs w:val="20"/>
        </w:rPr>
        <w:t xml:space="preserve"> </w:t>
      </w:r>
    </w:p>
    <w:p w14:paraId="06BB2437" w14:textId="77777777" w:rsidR="00016A99" w:rsidRPr="004C00CD" w:rsidRDefault="00016A99" w:rsidP="00EB4B63">
      <w:pPr>
        <w:pStyle w:val="Default"/>
        <w:rPr>
          <w:rFonts w:ascii="Arial" w:hAnsi="Arial" w:cs="Arial"/>
          <w:sz w:val="20"/>
          <w:szCs w:val="20"/>
        </w:rPr>
      </w:pPr>
    </w:p>
    <w:p w14:paraId="7B9DAAE8" w14:textId="08BE1576" w:rsidR="000974C0" w:rsidRPr="000974C0" w:rsidRDefault="000974C0" w:rsidP="00175725">
      <w:pPr>
        <w:pStyle w:val="Default"/>
        <w:jc w:val="both"/>
        <w:rPr>
          <w:rFonts w:ascii="Arial" w:hAnsi="Arial" w:cs="Arial"/>
          <w:sz w:val="20"/>
          <w:szCs w:val="20"/>
        </w:rPr>
      </w:pPr>
      <w:r w:rsidRPr="002B637F">
        <w:rPr>
          <w:rFonts w:ascii="Arial" w:hAnsi="Arial" w:cs="Arial"/>
          <w:sz w:val="20"/>
          <w:szCs w:val="20"/>
        </w:rPr>
        <w:t xml:space="preserve">Management has not provided certain written representations required by Auditing Standard Section AU-C Section 580, Written Representations, including but not limited to, management’s responsibility for preparing the financial statements in conformity with the </w:t>
      </w:r>
      <w:r w:rsidRPr="008C3F9E">
        <w:rPr>
          <w:rFonts w:ascii="Arial" w:hAnsi="Arial" w:cs="Arial"/>
          <w:sz w:val="20"/>
          <w:szCs w:val="20"/>
          <w:highlight w:val="lightGray"/>
        </w:rPr>
        <w:t>Entity</w:t>
      </w:r>
      <w:r w:rsidRPr="002B637F">
        <w:rPr>
          <w:rFonts w:ascii="Arial" w:hAnsi="Arial" w:cs="Arial"/>
          <w:sz w:val="20"/>
          <w:szCs w:val="20"/>
        </w:rPr>
        <w:t xml:space="preserve">’s financial reporting framework, the availability of original financial records and related data, the completeness and availability of all minutes of the legislative or other bodies and committee meetings; management’s responsibility of the </w:t>
      </w:r>
      <w:r w:rsidRPr="008C3F9E">
        <w:rPr>
          <w:rFonts w:ascii="Arial" w:hAnsi="Arial" w:cs="Arial"/>
          <w:sz w:val="20"/>
          <w:szCs w:val="20"/>
          <w:highlight w:val="lightGray"/>
        </w:rPr>
        <w:t>Entity</w:t>
      </w:r>
      <w:r w:rsidRPr="002B637F">
        <w:rPr>
          <w:rFonts w:ascii="Arial" w:hAnsi="Arial" w:cs="Arial"/>
          <w:sz w:val="20"/>
          <w:szCs w:val="20"/>
        </w:rPr>
        <w:t>’s compliance with laws and regulations; the identification and disclosure of all laws, regulations, and provisions of contracts and grant agreements directly and materially affecting the determination of financial statement amounts and; the presence or absence of fraud involving management or employees with significant roles in internal control; compliance with laws, regulations, and provisions of contracts and grant agreements, including budget laws, compliance with any debt covenants, the identification of all Federal assistance programs, and compliance with Federal grant requirements.</w:t>
      </w:r>
    </w:p>
    <w:p w14:paraId="1329571B" w14:textId="77777777" w:rsidR="000974C0" w:rsidRDefault="000974C0" w:rsidP="00175725">
      <w:pPr>
        <w:pStyle w:val="Default"/>
        <w:jc w:val="both"/>
        <w:rPr>
          <w:sz w:val="27"/>
          <w:szCs w:val="27"/>
        </w:rPr>
      </w:pPr>
    </w:p>
    <w:p w14:paraId="256FB682" w14:textId="6A5E54B0" w:rsidR="00EB4B63" w:rsidRPr="002B637F" w:rsidRDefault="00EB4B63" w:rsidP="00EB4B63">
      <w:pPr>
        <w:tabs>
          <w:tab w:val="left" w:pos="0"/>
          <w:tab w:val="left" w:pos="547"/>
          <w:tab w:val="left" w:pos="936"/>
          <w:tab w:val="left" w:pos="1440"/>
          <w:tab w:val="left" w:pos="1987"/>
        </w:tabs>
        <w:jc w:val="both"/>
        <w:rPr>
          <w:b/>
          <w:bCs/>
          <w:i/>
          <w:iCs/>
        </w:rPr>
      </w:pPr>
      <w:r w:rsidRPr="002B637F">
        <w:rPr>
          <w:b/>
          <w:bCs/>
          <w:i/>
          <w:iCs/>
        </w:rPr>
        <w:t xml:space="preserve"> Emphasis of Matter </w:t>
      </w:r>
      <w:r w:rsidRPr="002B637F">
        <w:rPr>
          <w:b/>
          <w:bCs/>
          <w:i/>
          <w:iCs/>
          <w:vertAlign w:val="superscript"/>
        </w:rPr>
        <w:endnoteReference w:id="5"/>
      </w:r>
    </w:p>
    <w:p w14:paraId="28137071" w14:textId="77777777" w:rsidR="00016A99" w:rsidRPr="002B637F" w:rsidRDefault="00016A99" w:rsidP="00EB4B63">
      <w:pPr>
        <w:tabs>
          <w:tab w:val="left" w:pos="0"/>
          <w:tab w:val="left" w:pos="547"/>
          <w:tab w:val="left" w:pos="936"/>
          <w:tab w:val="left" w:pos="1440"/>
          <w:tab w:val="left" w:pos="1987"/>
        </w:tabs>
        <w:jc w:val="both"/>
      </w:pPr>
    </w:p>
    <w:p w14:paraId="49B952D9" w14:textId="2AB9C8EB" w:rsidR="00EB4B63" w:rsidRPr="004C00CD" w:rsidRDefault="00EB4B63" w:rsidP="00EB4B63">
      <w:pPr>
        <w:autoSpaceDE w:val="0"/>
        <w:autoSpaceDN w:val="0"/>
        <w:jc w:val="both"/>
      </w:pPr>
      <w:r w:rsidRPr="002B637F">
        <w:t xml:space="preserve">As discussed in Note </w:t>
      </w:r>
      <w:r w:rsidRPr="002B637F">
        <w:rPr>
          <w:b/>
          <w:bCs/>
        </w:rPr>
        <w:t xml:space="preserve">X </w:t>
      </w:r>
      <w:r w:rsidRPr="002B637F">
        <w:t xml:space="preserve">to the financial statements, during 20XX, the </w:t>
      </w:r>
      <w:r w:rsidR="002B637F" w:rsidRPr="00DC299E">
        <w:rPr>
          <w:highlight w:val="lightGray"/>
        </w:rPr>
        <w:t>Entity</w:t>
      </w:r>
      <w:r w:rsidR="002B637F" w:rsidRPr="002B637F">
        <w:t xml:space="preserve"> </w:t>
      </w:r>
      <w:r w:rsidRPr="002B637F">
        <w:t>adopted new accounting guidance in Governmental Accounting Standards Board (GASB) Statement No. XX,</w:t>
      </w:r>
      <w:r w:rsidRPr="002B637F">
        <w:rPr>
          <w:i/>
          <w:iCs/>
        </w:rPr>
        <w:t xml:space="preserve"> </w:t>
      </w:r>
      <w:r w:rsidRPr="00737ED4">
        <w:rPr>
          <w:b/>
          <w:bCs/>
          <w:i/>
          <w:iCs/>
        </w:rPr>
        <w:t>[include name/title of GASB Statement in italics]</w:t>
      </w:r>
      <w:r w:rsidRPr="002B637F">
        <w:t xml:space="preserve">.  </w:t>
      </w:r>
      <w:r w:rsidR="008C3F9E" w:rsidRPr="008C3F9E">
        <w:t>Our opinion is not modified with respect to this matter.</w:t>
      </w:r>
      <w:r w:rsidRPr="004C00CD">
        <w:t xml:space="preserve"> </w:t>
      </w:r>
    </w:p>
    <w:p w14:paraId="65AC1C75" w14:textId="77777777" w:rsidR="00EB4B63" w:rsidRPr="004C00CD" w:rsidRDefault="00EB4B63" w:rsidP="00EB4B63">
      <w:pPr>
        <w:autoSpaceDE w:val="0"/>
        <w:autoSpaceDN w:val="0"/>
        <w:jc w:val="both"/>
        <w:rPr>
          <w:b/>
          <w:bCs/>
        </w:rPr>
      </w:pPr>
    </w:p>
    <w:p w14:paraId="267DFA37" w14:textId="77777777" w:rsidR="00BC6334" w:rsidRDefault="00BC6334" w:rsidP="00EB4B63">
      <w:pPr>
        <w:tabs>
          <w:tab w:val="left" w:pos="0"/>
          <w:tab w:val="left" w:pos="547"/>
          <w:tab w:val="left" w:pos="936"/>
          <w:tab w:val="left" w:pos="1440"/>
          <w:tab w:val="left" w:pos="1987"/>
        </w:tabs>
        <w:jc w:val="both"/>
        <w:rPr>
          <w:b/>
          <w:i/>
        </w:rPr>
      </w:pPr>
    </w:p>
    <w:p w14:paraId="5128AC93" w14:textId="77777777" w:rsidR="00BC6334" w:rsidRDefault="00BC6334" w:rsidP="00EB4B63">
      <w:pPr>
        <w:tabs>
          <w:tab w:val="left" w:pos="0"/>
          <w:tab w:val="left" w:pos="547"/>
          <w:tab w:val="left" w:pos="936"/>
          <w:tab w:val="left" w:pos="1440"/>
          <w:tab w:val="left" w:pos="1987"/>
        </w:tabs>
        <w:jc w:val="both"/>
        <w:rPr>
          <w:b/>
          <w:i/>
        </w:rPr>
      </w:pPr>
    </w:p>
    <w:p w14:paraId="68A17D0C" w14:textId="49F4D8A9" w:rsidR="00EB4B63" w:rsidRDefault="00EB4B63" w:rsidP="00EB4B63">
      <w:pPr>
        <w:tabs>
          <w:tab w:val="left" w:pos="0"/>
          <w:tab w:val="left" w:pos="547"/>
          <w:tab w:val="left" w:pos="936"/>
          <w:tab w:val="left" w:pos="1440"/>
          <w:tab w:val="left" w:pos="1987"/>
        </w:tabs>
        <w:jc w:val="both"/>
        <w:rPr>
          <w:b/>
          <w:i/>
        </w:rPr>
      </w:pPr>
      <w:r w:rsidRPr="00214F46">
        <w:rPr>
          <w:b/>
          <w:i/>
        </w:rPr>
        <w:lastRenderedPageBreak/>
        <w:t>Responsibilities of Management for the Financial Statements</w:t>
      </w:r>
    </w:p>
    <w:p w14:paraId="39D4C9D7" w14:textId="77777777" w:rsidR="00016A99" w:rsidRPr="004C00CD" w:rsidRDefault="00016A99" w:rsidP="00EB4B63">
      <w:pPr>
        <w:tabs>
          <w:tab w:val="left" w:pos="0"/>
          <w:tab w:val="left" w:pos="547"/>
          <w:tab w:val="left" w:pos="936"/>
          <w:tab w:val="left" w:pos="1440"/>
          <w:tab w:val="left" w:pos="1987"/>
        </w:tabs>
        <w:jc w:val="both"/>
        <w:rPr>
          <w:b/>
          <w:i/>
        </w:rPr>
      </w:pPr>
    </w:p>
    <w:p w14:paraId="1647278E" w14:textId="41C04E96" w:rsidR="00EB4B63" w:rsidRPr="004C00CD" w:rsidRDefault="00EB4B63" w:rsidP="00EB4B63">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w:t>
      </w:r>
      <w:r w:rsidR="009A4316" w:rsidRPr="009A4316">
        <w:rPr>
          <w:color w:val="000000"/>
          <w:highlight w:val="yellow"/>
        </w:rPr>
        <w:t>accounting principles generally accepted in the United States of America</w:t>
      </w:r>
      <w:r w:rsidR="00C507B9" w:rsidRPr="007407C8">
        <w:rPr>
          <w:rStyle w:val="EndnoteReference"/>
          <w:color w:val="000000"/>
          <w:highlight w:val="yellow"/>
        </w:rPr>
        <w:endnoteReference w:id="6"/>
      </w:r>
      <w:r w:rsidRPr="00737ED4">
        <w:rPr>
          <w:highlight w:val="yellow"/>
        </w:rPr>
        <w:t>, and</w:t>
      </w:r>
      <w:r>
        <w:t xml:space="preserve">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42C51F2B" w14:textId="77777777" w:rsidR="00EB4B63" w:rsidRPr="004C00CD" w:rsidRDefault="00EB4B63" w:rsidP="00EB4B63">
      <w:pPr>
        <w:pStyle w:val="Default"/>
        <w:jc w:val="both"/>
        <w:rPr>
          <w:rFonts w:ascii="Arial" w:hAnsi="Arial" w:cs="Arial"/>
          <w:sz w:val="20"/>
          <w:szCs w:val="20"/>
        </w:rPr>
      </w:pPr>
    </w:p>
    <w:p w14:paraId="1F499162" w14:textId="0ED505A6" w:rsidR="00EB4B63" w:rsidRPr="004C00CD" w:rsidRDefault="00EB4B63" w:rsidP="00EB4B63">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00DC299E" w:rsidRPr="00DC299E">
        <w:rPr>
          <w:rFonts w:ascii="Arial" w:hAnsi="Arial" w:cs="Arial"/>
          <w:sz w:val="20"/>
          <w:szCs w:val="20"/>
          <w:highlight w:val="lightGray"/>
        </w:rPr>
        <w:t>Entity</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645B317E" w14:textId="77777777" w:rsidR="00EB4B63" w:rsidRPr="004C00CD" w:rsidRDefault="00EB4B63" w:rsidP="00EB4B63">
      <w:pPr>
        <w:tabs>
          <w:tab w:val="left" w:pos="0"/>
          <w:tab w:val="left" w:pos="547"/>
          <w:tab w:val="left" w:pos="936"/>
          <w:tab w:val="left" w:pos="1440"/>
          <w:tab w:val="left" w:pos="1987"/>
        </w:tabs>
        <w:jc w:val="both"/>
      </w:pPr>
    </w:p>
    <w:p w14:paraId="1986A743" w14:textId="0045F0F1" w:rsidR="00EB4B63" w:rsidRDefault="00EB4B63" w:rsidP="00EB4B63">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1638F81D" w14:textId="77777777" w:rsidR="00016A99" w:rsidRPr="00A676A3" w:rsidRDefault="00016A99" w:rsidP="00EB4B63">
      <w:pPr>
        <w:tabs>
          <w:tab w:val="left" w:pos="0"/>
          <w:tab w:val="left" w:pos="547"/>
          <w:tab w:val="left" w:pos="936"/>
          <w:tab w:val="left" w:pos="1440"/>
          <w:tab w:val="left" w:pos="1987"/>
        </w:tabs>
        <w:jc w:val="both"/>
        <w:rPr>
          <w:b/>
          <w:i/>
        </w:rPr>
      </w:pPr>
    </w:p>
    <w:p w14:paraId="5DCB6BD0" w14:textId="2499C522" w:rsidR="00EB4B63" w:rsidRPr="008C3F9E" w:rsidRDefault="00EB4B63" w:rsidP="00016A99">
      <w:pPr>
        <w:pStyle w:val="Default"/>
        <w:jc w:val="both"/>
        <w:rPr>
          <w:rFonts w:ascii="Arial" w:hAnsi="Arial" w:cs="Arial"/>
          <w:sz w:val="20"/>
          <w:szCs w:val="20"/>
        </w:rPr>
      </w:pPr>
      <w:r w:rsidRPr="008C3F9E">
        <w:rPr>
          <w:rFonts w:ascii="Arial" w:hAnsi="Arial" w:cs="Arial"/>
          <w:sz w:val="20"/>
          <w:szCs w:val="20"/>
        </w:rPr>
        <w:t xml:space="preserve">Our </w:t>
      </w:r>
      <w:r w:rsidR="001427BB" w:rsidRPr="008C3F9E">
        <w:rPr>
          <w:rFonts w:ascii="Arial" w:hAnsi="Arial" w:cs="Arial"/>
          <w:sz w:val="20"/>
          <w:szCs w:val="20"/>
        </w:rPr>
        <w:t xml:space="preserve">responsibility is to conduct an audit of the </w:t>
      </w:r>
      <w:r w:rsidR="001427BB" w:rsidRPr="008C3F9E">
        <w:rPr>
          <w:rFonts w:ascii="Arial" w:hAnsi="Arial" w:cs="Arial"/>
          <w:sz w:val="20"/>
          <w:szCs w:val="20"/>
          <w:highlight w:val="lightGray"/>
        </w:rPr>
        <w:t>Entity</w:t>
      </w:r>
      <w:r w:rsidR="001427BB" w:rsidRPr="008C3F9E">
        <w:rPr>
          <w:rFonts w:ascii="Arial" w:hAnsi="Arial" w:cs="Arial"/>
          <w:sz w:val="20"/>
          <w:szCs w:val="20"/>
        </w:rPr>
        <w:t>’s financial statements</w:t>
      </w:r>
      <w:r w:rsidRPr="008C3F9E">
        <w:rPr>
          <w:rFonts w:ascii="Arial" w:hAnsi="Arial" w:cs="Arial"/>
          <w:sz w:val="20"/>
          <w:szCs w:val="20"/>
        </w:rPr>
        <w:t xml:space="preserve"> in accordance with GAAS </w:t>
      </w:r>
      <w:r w:rsidR="00016A99" w:rsidRPr="008C3F9E">
        <w:rPr>
          <w:rFonts w:ascii="Arial" w:hAnsi="Arial" w:cs="Arial"/>
          <w:sz w:val="20"/>
          <w:szCs w:val="20"/>
        </w:rPr>
        <w:t xml:space="preserve">and </w:t>
      </w:r>
      <w:r w:rsidR="00016A99" w:rsidRPr="008C3F9E">
        <w:rPr>
          <w:rFonts w:ascii="Arial" w:hAnsi="Arial" w:cs="Arial"/>
          <w:i/>
          <w:sz w:val="20"/>
          <w:szCs w:val="20"/>
        </w:rPr>
        <w:t>Government Auditing Standards</w:t>
      </w:r>
      <w:r w:rsidR="00016A99" w:rsidRPr="008C3F9E">
        <w:rPr>
          <w:rFonts w:ascii="Arial" w:hAnsi="Arial" w:cs="Arial"/>
          <w:sz w:val="20"/>
          <w:szCs w:val="20"/>
        </w:rPr>
        <w:t xml:space="preserve"> </w:t>
      </w:r>
      <w:r w:rsidR="001427BB" w:rsidRPr="008C3F9E">
        <w:rPr>
          <w:rFonts w:ascii="Arial" w:hAnsi="Arial" w:cs="Arial"/>
          <w:sz w:val="20"/>
          <w:szCs w:val="20"/>
        </w:rPr>
        <w:t>and to issue an auditor’s report.  However, because of the matter(s) described in the Basis for Disclaimer of Opinion section of our report, we were not able to obtain sufficient appropriate audit evidence to provide a basis for an audit opinion on these financial statements.</w:t>
      </w:r>
    </w:p>
    <w:p w14:paraId="3A2C5DA7" w14:textId="77646E05" w:rsidR="001427BB" w:rsidRPr="008C3F9E" w:rsidRDefault="001427BB" w:rsidP="00016A99">
      <w:pPr>
        <w:pStyle w:val="Default"/>
        <w:jc w:val="both"/>
        <w:rPr>
          <w:rFonts w:ascii="Arial" w:hAnsi="Arial" w:cs="Arial"/>
          <w:sz w:val="20"/>
          <w:szCs w:val="20"/>
        </w:rPr>
      </w:pPr>
    </w:p>
    <w:p w14:paraId="62DDAE73" w14:textId="537997FD" w:rsidR="001427BB" w:rsidRPr="008C3F9E" w:rsidRDefault="001427BB" w:rsidP="00016A99">
      <w:pPr>
        <w:pStyle w:val="Default"/>
        <w:jc w:val="both"/>
        <w:rPr>
          <w:rFonts w:ascii="Arial" w:hAnsi="Arial" w:cs="Arial"/>
          <w:sz w:val="20"/>
          <w:szCs w:val="20"/>
        </w:rPr>
      </w:pPr>
      <w:r w:rsidRPr="008C3F9E">
        <w:rPr>
          <w:rFonts w:ascii="Arial" w:hAnsi="Arial" w:cs="Arial"/>
          <w:sz w:val="20"/>
          <w:szCs w:val="20"/>
        </w:rPr>
        <w:t xml:space="preserve">We are required to be </w:t>
      </w:r>
      <w:r w:rsidR="00306B3C">
        <w:rPr>
          <w:rFonts w:ascii="Arial" w:hAnsi="Arial" w:cs="Arial"/>
          <w:sz w:val="20"/>
          <w:szCs w:val="20"/>
        </w:rPr>
        <w:t>independent</w:t>
      </w:r>
      <w:r w:rsidR="00306B3C" w:rsidRPr="008C3F9E">
        <w:rPr>
          <w:rFonts w:ascii="Arial" w:hAnsi="Arial" w:cs="Arial"/>
          <w:sz w:val="20"/>
          <w:szCs w:val="20"/>
        </w:rPr>
        <w:t xml:space="preserve"> </w:t>
      </w:r>
      <w:r w:rsidRPr="008C3F9E">
        <w:rPr>
          <w:rFonts w:ascii="Arial" w:hAnsi="Arial" w:cs="Arial"/>
          <w:sz w:val="20"/>
          <w:szCs w:val="20"/>
        </w:rPr>
        <w:t xml:space="preserve">of the </w:t>
      </w:r>
      <w:r w:rsidRPr="008C3F9E">
        <w:rPr>
          <w:rFonts w:ascii="Arial" w:hAnsi="Arial" w:cs="Arial"/>
          <w:sz w:val="20"/>
          <w:szCs w:val="20"/>
          <w:highlight w:val="lightGray"/>
        </w:rPr>
        <w:t>Entity</w:t>
      </w:r>
      <w:r w:rsidRPr="008C3F9E">
        <w:rPr>
          <w:rFonts w:ascii="Arial" w:hAnsi="Arial" w:cs="Arial"/>
          <w:sz w:val="20"/>
          <w:szCs w:val="20"/>
        </w:rPr>
        <w:t xml:space="preserve"> and to meet our other ethical responsibilities, in accordance with the relevant ethical requirements relating to our audit.</w:t>
      </w:r>
    </w:p>
    <w:p w14:paraId="493917CB" w14:textId="77777777" w:rsidR="00EB4B63" w:rsidRPr="008C3F9E" w:rsidRDefault="00EB4B63" w:rsidP="00EB4B63">
      <w:pPr>
        <w:jc w:val="both"/>
        <w:rPr>
          <w:strike/>
        </w:rPr>
      </w:pPr>
    </w:p>
    <w:p w14:paraId="04C3C469" w14:textId="362C63F5" w:rsidR="00EB4B63" w:rsidRDefault="00EB4B63" w:rsidP="00EB4B63">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6003715D" w14:textId="77777777" w:rsidR="00016A99" w:rsidRPr="004C00CD" w:rsidRDefault="00016A99" w:rsidP="00EB4B63">
      <w:pPr>
        <w:tabs>
          <w:tab w:val="left" w:pos="0"/>
          <w:tab w:val="left" w:pos="547"/>
          <w:tab w:val="left" w:pos="936"/>
          <w:tab w:val="left" w:pos="1440"/>
          <w:tab w:val="left" w:pos="1987"/>
        </w:tabs>
        <w:jc w:val="both"/>
        <w:rPr>
          <w:b/>
          <w:i/>
        </w:rPr>
      </w:pPr>
    </w:p>
    <w:p w14:paraId="65529575" w14:textId="60989E6C" w:rsidR="00EB4B63" w:rsidRPr="004C00CD" w:rsidRDefault="00EB4B63" w:rsidP="00EB4B63">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00016A99" w:rsidRPr="00737ED4">
        <w:rPr>
          <w:iCs/>
        </w:rPr>
        <w:t>management’s discussion and analysis</w:t>
      </w:r>
      <w:r w:rsidR="00016A99" w:rsidRPr="003A2F6E">
        <w:t xml:space="preserve">, </w:t>
      </w:r>
      <w:r w:rsidR="00016A99" w:rsidRPr="003A2F6E">
        <w:rPr>
          <w:b/>
        </w:rPr>
        <w:t>[</w:t>
      </w:r>
      <w:r w:rsidR="00D65684" w:rsidRPr="00737ED4">
        <w:rPr>
          <w:b/>
          <w:bCs/>
          <w:iCs/>
        </w:rPr>
        <w:t>r</w:t>
      </w:r>
      <w:r w:rsidR="00016A99" w:rsidRPr="00737ED4">
        <w:rPr>
          <w:b/>
          <w:bCs/>
          <w:iCs/>
        </w:rPr>
        <w:t xml:space="preserve">equired budgetary comparison schedule(s) and </w:t>
      </w:r>
      <w:r w:rsidR="00D65684" w:rsidRPr="00737ED4">
        <w:rPr>
          <w:b/>
          <w:bCs/>
          <w:iCs/>
        </w:rPr>
        <w:t>s</w:t>
      </w:r>
      <w:r w:rsidR="00016A99" w:rsidRPr="00737ED4">
        <w:rPr>
          <w:b/>
          <w:bCs/>
          <w:iCs/>
        </w:rPr>
        <w:t>chedules for infrastructure assets accounted for using the modified approach,</w:t>
      </w:r>
      <w:r w:rsidR="00016A99" w:rsidRPr="003A2F6E">
        <w:rPr>
          <w:b/>
        </w:rPr>
        <w:t xml:space="preserve">] </w:t>
      </w:r>
      <w:r w:rsidR="00016A99" w:rsidRPr="003A2F6E">
        <w:rPr>
          <w:highlight w:val="yellow"/>
        </w:rPr>
        <w:t>and schedules of net pension and other post-employment benefit liabilities and pension and other post-employment benefit contributions</w:t>
      </w:r>
      <w:r w:rsidR="00D65684">
        <w:rPr>
          <w:rStyle w:val="EndnoteReference"/>
          <w:highlight w:val="yellow"/>
        </w:rPr>
        <w:endnoteReference w:id="7"/>
      </w:r>
      <w:r w:rsidR="00016A99">
        <w:t xml:space="preserve"> </w:t>
      </w:r>
      <w:r>
        <w:t>be presented</w:t>
      </w:r>
      <w:r w:rsidRPr="004C00CD">
        <w:t xml:space="preserve"> to supplement the basic financial statements. </w:t>
      </w:r>
      <w:r w:rsidR="00016A99">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rsidR="00016A99">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rsidR="00016A99">
        <w:t xml:space="preserve"> </w:t>
      </w:r>
      <w:r w:rsidRPr="004C00CD">
        <w:rPr>
          <w:vertAlign w:val="superscript"/>
        </w:rPr>
        <w:endnoteReference w:id="8"/>
      </w:r>
    </w:p>
    <w:p w14:paraId="2C3C94E1" w14:textId="2F29A89D" w:rsidR="00EB4B63" w:rsidRDefault="00EB4B63" w:rsidP="00EB4B63">
      <w:pPr>
        <w:tabs>
          <w:tab w:val="left" w:pos="0"/>
          <w:tab w:val="left" w:pos="547"/>
          <w:tab w:val="left" w:pos="936"/>
          <w:tab w:val="left" w:pos="1440"/>
          <w:tab w:val="left" w:pos="1987"/>
        </w:tabs>
        <w:jc w:val="both"/>
      </w:pPr>
    </w:p>
    <w:p w14:paraId="2B283A61" w14:textId="383B8690" w:rsidR="00EB4B63" w:rsidRDefault="00EB4B63" w:rsidP="00EB4B63">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9"/>
      </w:r>
    </w:p>
    <w:p w14:paraId="5EA61123" w14:textId="77777777" w:rsidR="00016A99" w:rsidRPr="004C00CD" w:rsidRDefault="00016A99" w:rsidP="00EB4B63">
      <w:pPr>
        <w:tabs>
          <w:tab w:val="left" w:pos="0"/>
          <w:tab w:val="left" w:pos="547"/>
          <w:tab w:val="left" w:pos="936"/>
          <w:tab w:val="left" w:pos="1440"/>
          <w:tab w:val="left" w:pos="1987"/>
        </w:tabs>
        <w:jc w:val="both"/>
        <w:rPr>
          <w:b/>
          <w:i/>
        </w:rPr>
      </w:pPr>
    </w:p>
    <w:p w14:paraId="3E5ADE44" w14:textId="33321BF3" w:rsidR="00D65684" w:rsidRDefault="00EB4B63" w:rsidP="006470EC">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00DC299E" w:rsidRPr="00753156">
        <w:rPr>
          <w:highlight w:val="lightGray"/>
          <w:lang w:eastAsia="ja-JP"/>
        </w:rPr>
        <w:t>Entity</w:t>
      </w:r>
      <w:r>
        <w:rPr>
          <w:lang w:eastAsia="ja-JP"/>
        </w:rPr>
        <w:t xml:space="preserve">’s basic financial statements. </w:t>
      </w:r>
      <w:r w:rsidR="006470EC">
        <w:rPr>
          <w:lang w:eastAsia="ja-JP"/>
        </w:rPr>
        <w:t xml:space="preserve"> The </w:t>
      </w:r>
      <w:r w:rsidR="006470EC" w:rsidRPr="003A2F6E">
        <w:rPr>
          <w:b/>
        </w:rPr>
        <w:t>[</w:t>
      </w:r>
      <w:r w:rsidR="00D65684" w:rsidRPr="00737ED4">
        <w:rPr>
          <w:b/>
          <w:i/>
          <w:iCs/>
        </w:rPr>
        <w:t>identify accompanying supplementary information such as the</w:t>
      </w:r>
      <w:r w:rsidR="00D65684" w:rsidRPr="00D65684">
        <w:rPr>
          <w:b/>
        </w:rPr>
        <w:t xml:space="preserve"> </w:t>
      </w:r>
      <w:r w:rsidR="006470EC" w:rsidRPr="00737ED4">
        <w:rPr>
          <w:b/>
        </w:rPr>
        <w:t>introductory section, the financial section’s c</w:t>
      </w:r>
      <w:r w:rsidR="006470EC" w:rsidRPr="00737ED4">
        <w:rPr>
          <w:b/>
          <w:color w:val="000000"/>
        </w:rPr>
        <w:t xml:space="preserve">ombining statements, individual fund statements and schedules </w:t>
      </w:r>
      <w:r w:rsidR="006470EC" w:rsidRPr="00737ED4">
        <w:rPr>
          <w:b/>
        </w:rPr>
        <w:t>and the statistical section information</w:t>
      </w:r>
      <w:r w:rsidR="006470EC" w:rsidRPr="003A2F6E">
        <w:rPr>
          <w:b/>
        </w:rPr>
        <w:t>]</w:t>
      </w:r>
      <w:r w:rsidR="006470EC">
        <w:rPr>
          <w:lang w:eastAsia="ja-JP"/>
        </w:rPr>
        <w:t xml:space="preserve"> </w:t>
      </w:r>
      <w:r w:rsidR="00D65684" w:rsidRPr="00737ED4">
        <w:rPr>
          <w:b/>
          <w:bCs/>
          <w:highlight w:val="yellow"/>
          <w:lang w:eastAsia="ja-JP"/>
        </w:rPr>
        <w:t>[</w:t>
      </w:r>
      <w:r w:rsidR="0062217E" w:rsidRPr="00737ED4">
        <w:rPr>
          <w:b/>
          <w:bCs/>
          <w:highlight w:val="yellow"/>
          <w:lang w:eastAsia="ja-JP"/>
        </w:rPr>
        <w:t xml:space="preserve">and </w:t>
      </w:r>
      <w:r w:rsidR="0062217E" w:rsidRPr="00737ED4">
        <w:rPr>
          <w:b/>
          <w:bCs/>
          <w:highlight w:val="yellow"/>
        </w:rPr>
        <w:t xml:space="preserve">the Schedule of Expenditures of Federal Awards as required by </w:t>
      </w:r>
      <w:r w:rsidR="0062217E" w:rsidRPr="00737ED4">
        <w:rPr>
          <w:rStyle w:val="c-doc-para-italic2"/>
          <w:b/>
          <w:bCs/>
          <w:highlight w:val="yellow"/>
        </w:rPr>
        <w:t>Title 2 U.S. Code of Federal Regulations (CFR) Part 200,</w:t>
      </w:r>
      <w:r w:rsidR="0062217E" w:rsidRPr="00737ED4">
        <w:rPr>
          <w:b/>
          <w:bCs/>
          <w:highlight w:val="yellow"/>
        </w:rPr>
        <w:t xml:space="preserve"> Uniform Administrative Requirements, Cost Principles, and Audit Requirements for Federal</w:t>
      </w:r>
      <w:r w:rsidR="000F35A0" w:rsidRPr="00737ED4">
        <w:rPr>
          <w:b/>
          <w:bCs/>
          <w:highlight w:val="yellow"/>
        </w:rPr>
        <w:t xml:space="preserve"> Awards</w:t>
      </w:r>
      <w:r w:rsidR="0062217E" w:rsidRPr="00737ED4">
        <w:rPr>
          <w:b/>
          <w:bCs/>
          <w:highlight w:val="yellow"/>
        </w:rPr>
        <w:t>]</w:t>
      </w:r>
      <w:r w:rsidR="000F35A0">
        <w:rPr>
          <w:b/>
        </w:rPr>
        <w:t xml:space="preserve"> </w:t>
      </w:r>
      <w:r w:rsidR="006470EC">
        <w:rPr>
          <w:lang w:eastAsia="ja-JP"/>
        </w:rPr>
        <w:t>are</w:t>
      </w:r>
      <w:r w:rsidR="006470EC" w:rsidRPr="004C00CD">
        <w:rPr>
          <w:lang w:eastAsia="ja-JP"/>
        </w:rPr>
        <w:t xml:space="preserve"> presented for purposes of additional analysis and </w:t>
      </w:r>
      <w:r w:rsidR="006470EC">
        <w:rPr>
          <w:lang w:eastAsia="ja-JP"/>
        </w:rPr>
        <w:t>are</w:t>
      </w:r>
      <w:r w:rsidR="006470EC" w:rsidRPr="004C00CD">
        <w:rPr>
          <w:lang w:eastAsia="ja-JP"/>
        </w:rPr>
        <w:t xml:space="preserve"> not a required part of the </w:t>
      </w:r>
      <w:r w:rsidR="006470EC">
        <w:rPr>
          <w:lang w:eastAsia="ja-JP"/>
        </w:rPr>
        <w:t xml:space="preserve">basic </w:t>
      </w:r>
      <w:r w:rsidR="006470EC" w:rsidRPr="004C00CD">
        <w:rPr>
          <w:lang w:eastAsia="ja-JP"/>
        </w:rPr>
        <w:t>financial statements.</w:t>
      </w:r>
    </w:p>
    <w:p w14:paraId="3E2D1BC4" w14:textId="4654CD75" w:rsidR="006470EC" w:rsidRDefault="006470EC" w:rsidP="006470EC">
      <w:pPr>
        <w:tabs>
          <w:tab w:val="left" w:pos="0"/>
          <w:tab w:val="left" w:pos="547"/>
          <w:tab w:val="left" w:pos="936"/>
          <w:tab w:val="left" w:pos="1440"/>
          <w:tab w:val="left" w:pos="1987"/>
        </w:tabs>
        <w:jc w:val="both"/>
        <w:rPr>
          <w:lang w:eastAsia="ja-JP"/>
        </w:rPr>
      </w:pPr>
      <w:r w:rsidRPr="004C00CD">
        <w:rPr>
          <w:lang w:eastAsia="ja-JP"/>
        </w:rPr>
        <w:t xml:space="preserve"> </w:t>
      </w:r>
    </w:p>
    <w:p w14:paraId="0C91D4DE" w14:textId="173EE5DF" w:rsidR="009A4316" w:rsidRDefault="009A4316" w:rsidP="00EB4B63">
      <w:pPr>
        <w:tabs>
          <w:tab w:val="left" w:pos="0"/>
          <w:tab w:val="left" w:pos="547"/>
          <w:tab w:val="left" w:pos="936"/>
          <w:tab w:val="left" w:pos="1440"/>
          <w:tab w:val="left" w:pos="1987"/>
        </w:tabs>
        <w:jc w:val="both"/>
        <w:rPr>
          <w:lang w:eastAsia="ja-JP"/>
        </w:rPr>
      </w:pPr>
      <w:r w:rsidRPr="002B637F">
        <w:rPr>
          <w:color w:val="000000"/>
        </w:rPr>
        <w:t>Because of the significance of the matter described in the Basis for Disclaimer of Opinion paragraph above, we are not able to obtain sufficient evidence to provide a basis for an opinion and accordingly we do not opine on the Schedule of Expenditures of Federal Awards.</w:t>
      </w:r>
      <w:r w:rsidRPr="009A4316">
        <w:rPr>
          <w:lang w:eastAsia="ja-JP"/>
        </w:rPr>
        <w:t xml:space="preserve"> </w:t>
      </w:r>
    </w:p>
    <w:p w14:paraId="5F009E0B" w14:textId="77777777" w:rsidR="005C4B41" w:rsidRDefault="005C4B41" w:rsidP="00EB4B63">
      <w:pPr>
        <w:rPr>
          <w:b/>
          <w:u w:val="single"/>
        </w:rPr>
      </w:pPr>
    </w:p>
    <w:p w14:paraId="3B579DE4" w14:textId="59E892E9" w:rsidR="00EB4B63" w:rsidRPr="009238BF" w:rsidRDefault="00EB4B63" w:rsidP="00EB4B63">
      <w:pPr>
        <w:rPr>
          <w:b/>
        </w:rPr>
      </w:pPr>
      <w:r w:rsidRPr="009238BF">
        <w:rPr>
          <w:b/>
        </w:rPr>
        <w:lastRenderedPageBreak/>
        <w:t>Other Reporting Required by Government Auditing Standards</w:t>
      </w:r>
    </w:p>
    <w:p w14:paraId="0BB54CEC" w14:textId="77777777" w:rsidR="006470EC" w:rsidRPr="009238BF" w:rsidRDefault="006470EC" w:rsidP="00EB4B63"/>
    <w:p w14:paraId="5F7AAB4F" w14:textId="0F6EC407" w:rsidR="00EB4B63" w:rsidRPr="004C00CD" w:rsidRDefault="00EB4B63" w:rsidP="004B560C">
      <w:pPr>
        <w:jc w:val="both"/>
      </w:pPr>
      <w:r w:rsidRPr="004C00CD">
        <w:t xml:space="preserve">In accordance with </w:t>
      </w:r>
      <w:r w:rsidRPr="004C00CD">
        <w:rPr>
          <w:i/>
        </w:rPr>
        <w:t>Government Auditing Standards</w:t>
      </w:r>
      <w:r w:rsidRPr="004C00CD">
        <w:t>, we have also issued</w:t>
      </w:r>
      <w:r w:rsidR="00925CBE">
        <w:t xml:space="preserve"> </w:t>
      </w:r>
      <w:r w:rsidRPr="004C00CD">
        <w:t xml:space="preserve">our report dated </w:t>
      </w:r>
      <w:r w:rsidR="00BE2B61">
        <w:rPr>
          <w:highlight w:val="lightGray"/>
        </w:rPr>
        <w:t>Report Date</w:t>
      </w:r>
      <w:r w:rsidRPr="004C00CD">
        <w:t xml:space="preserve">, on our consideration of the </w:t>
      </w:r>
      <w:r w:rsidR="00DC299E" w:rsidRPr="00DC299E">
        <w:rPr>
          <w:highlight w:val="lightGray"/>
        </w:rPr>
        <w:t>Entity</w:t>
      </w:r>
      <w:r w:rsidRPr="004C00CD">
        <w:t xml:space="preserve">’s internal control over financial reporting and our tests of its compliance with certain provisions of laws, regulations, contracts and grant agreements and other matters. </w:t>
      </w:r>
      <w:r w:rsidR="006470EC">
        <w:t xml:space="preserve"> </w:t>
      </w:r>
      <w:r w:rsidR="00954573" w:rsidRPr="004B560C">
        <w:t>The purpose of that report is solely to describe the scope of our testing of internal control over financial reporting and compliance and the results of that testing, and not to provide an opini</w:t>
      </w:r>
      <w:r w:rsidR="001E4814">
        <w:t xml:space="preserve">on on the effectiveness of the </w:t>
      </w:r>
      <w:r w:rsidR="00954573" w:rsidRPr="005C4B41">
        <w:rPr>
          <w:highlight w:val="lightGray"/>
        </w:rPr>
        <w:t>Entity</w:t>
      </w:r>
      <w:r w:rsidR="00954573" w:rsidRPr="004B560C">
        <w:t>'s internal control over financial reporting or on compliance.</w:t>
      </w:r>
      <w:r w:rsidR="00954573">
        <w:t xml:space="preserve">  </w:t>
      </w:r>
      <w:r w:rsidR="00954573" w:rsidRPr="004B560C">
        <w:t>That report is an integral part of an audit performed in accordance with </w:t>
      </w:r>
      <w:r w:rsidR="00954573" w:rsidRPr="004B560C">
        <w:rPr>
          <w:i/>
        </w:rPr>
        <w:t>Government Auditing Standards </w:t>
      </w:r>
      <w:r w:rsidR="001E4814">
        <w:t>in considering</w:t>
      </w:r>
      <w:r w:rsidR="005D0677">
        <w:t xml:space="preserve"> the</w:t>
      </w:r>
      <w:r w:rsidR="001E4814">
        <w:t xml:space="preserve"> </w:t>
      </w:r>
      <w:r w:rsidR="00954573" w:rsidRPr="005C4B41">
        <w:rPr>
          <w:highlight w:val="lightGray"/>
        </w:rPr>
        <w:t>Entity</w:t>
      </w:r>
      <w:r w:rsidR="00954573" w:rsidRPr="004B560C">
        <w:t>'s internal control over financial reporting and compliance.</w:t>
      </w:r>
    </w:p>
    <w:p w14:paraId="000ADF94" w14:textId="77777777" w:rsidR="00EB4B63" w:rsidRPr="004C00CD" w:rsidRDefault="00EB4B63" w:rsidP="00EB4B63">
      <w:pPr>
        <w:tabs>
          <w:tab w:val="left" w:pos="0"/>
          <w:tab w:val="left" w:pos="547"/>
          <w:tab w:val="left" w:pos="936"/>
          <w:tab w:val="left" w:pos="1440"/>
          <w:tab w:val="left" w:pos="1987"/>
        </w:tabs>
        <w:jc w:val="both"/>
        <w:rPr>
          <w:color w:val="000000"/>
          <w:highlight w:val="cyan"/>
        </w:rPr>
      </w:pPr>
    </w:p>
    <w:p w14:paraId="3C2FD721" w14:textId="77777777" w:rsidR="00EB4B63" w:rsidRPr="004C00CD" w:rsidRDefault="00EB4B63" w:rsidP="00EB4B63">
      <w:pPr>
        <w:tabs>
          <w:tab w:val="left" w:pos="0"/>
          <w:tab w:val="left" w:pos="547"/>
          <w:tab w:val="left" w:pos="936"/>
          <w:tab w:val="left" w:pos="1440"/>
          <w:tab w:val="left" w:pos="1987"/>
        </w:tabs>
        <w:jc w:val="both"/>
        <w:rPr>
          <w:color w:val="000000"/>
          <w:highlight w:val="cyan"/>
        </w:rPr>
      </w:pPr>
    </w:p>
    <w:p w14:paraId="165DDA82" w14:textId="77777777" w:rsidR="001F6B62" w:rsidRPr="007132A7" w:rsidRDefault="001F6B62" w:rsidP="001F6B62">
      <w:pPr>
        <w:tabs>
          <w:tab w:val="left" w:pos="0"/>
          <w:tab w:val="left" w:pos="547"/>
          <w:tab w:val="left" w:pos="936"/>
          <w:tab w:val="left" w:pos="1440"/>
          <w:tab w:val="left" w:pos="1987"/>
        </w:tabs>
        <w:jc w:val="both"/>
        <w:rPr>
          <w:noProof/>
          <w:color w:val="000000"/>
        </w:rPr>
      </w:pPr>
      <w:r w:rsidRPr="007132A7">
        <w:rPr>
          <w:noProof/>
          <w:color w:val="000000"/>
        </w:rPr>
        <w:t>[Auditor Signature]</w:t>
      </w:r>
    </w:p>
    <w:p w14:paraId="29946C3E" w14:textId="77777777" w:rsidR="001F6B62" w:rsidRPr="007132A7" w:rsidRDefault="001F6B62" w:rsidP="001F6B62">
      <w:pPr>
        <w:tabs>
          <w:tab w:val="left" w:pos="0"/>
          <w:tab w:val="left" w:pos="547"/>
          <w:tab w:val="left" w:pos="936"/>
          <w:tab w:val="left" w:pos="1440"/>
          <w:tab w:val="left" w:pos="1987"/>
        </w:tabs>
        <w:jc w:val="both"/>
        <w:rPr>
          <w:color w:val="000000"/>
        </w:rPr>
      </w:pPr>
      <w:r w:rsidRPr="007132A7">
        <w:rPr>
          <w:noProof/>
          <w:color w:val="000000"/>
        </w:rPr>
        <w:t>[City, State]</w:t>
      </w:r>
    </w:p>
    <w:p w14:paraId="125CE6D5" w14:textId="0F544DB6" w:rsidR="00EB4B63" w:rsidRPr="007132A7" w:rsidRDefault="00EB4B63" w:rsidP="00EB4B63">
      <w:pPr>
        <w:tabs>
          <w:tab w:val="left" w:pos="0"/>
          <w:tab w:val="left" w:pos="547"/>
          <w:tab w:val="left" w:pos="936"/>
          <w:tab w:val="left" w:pos="1440"/>
          <w:tab w:val="left" w:pos="1987"/>
        </w:tabs>
        <w:jc w:val="both"/>
        <w:rPr>
          <w:color w:val="000000"/>
        </w:rPr>
      </w:pPr>
    </w:p>
    <w:p w14:paraId="11103254" w14:textId="77777777" w:rsidR="00EB4B63" w:rsidRPr="004C00CD" w:rsidRDefault="00EB4B63" w:rsidP="00EB4B63"/>
    <w:p w14:paraId="356775CA" w14:textId="1A5319A3" w:rsidR="00EB4B63" w:rsidRPr="004C00CD" w:rsidRDefault="00BE2B61" w:rsidP="00EB4B63">
      <w:pPr>
        <w:rPr>
          <w:b/>
          <w:iCs/>
        </w:rPr>
      </w:pPr>
      <w:r>
        <w:rPr>
          <w:highlight w:val="yellow"/>
        </w:rPr>
        <w:t>Report Date</w:t>
      </w:r>
    </w:p>
    <w:p w14:paraId="5D1EA5D7" w14:textId="77777777" w:rsidR="00EB4B63" w:rsidRPr="004C00CD" w:rsidRDefault="00EB4B63" w:rsidP="00EB4B63">
      <w:pPr>
        <w:rPr>
          <w:iCs/>
        </w:rPr>
      </w:pPr>
    </w:p>
    <w:p w14:paraId="7BCD12AD" w14:textId="77777777" w:rsidR="00EB4B63" w:rsidRPr="004C00CD" w:rsidRDefault="00EB4B63" w:rsidP="00EB4B63">
      <w:pPr>
        <w:rPr>
          <w:iCs/>
        </w:rPr>
        <w:sectPr w:rsidR="00EB4B63" w:rsidRPr="004C00CD" w:rsidSect="00C507B9">
          <w:headerReference w:type="default" r:id="rId13"/>
          <w:footerReference w:type="default" r:id="rId14"/>
          <w:headerReference w:type="first" r:id="rId15"/>
          <w:footerReference w:type="first" r:id="rId16"/>
          <w:footnotePr>
            <w:numFmt w:val="chicago"/>
            <w:numStart w:val="2"/>
          </w:footnotePr>
          <w:endnotePr>
            <w:numFmt w:val="decimal"/>
          </w:endnotePr>
          <w:pgSz w:w="12240" w:h="15840"/>
          <w:pgMar w:top="2016" w:right="1440" w:bottom="936" w:left="1620" w:header="720" w:footer="720" w:gutter="0"/>
          <w:cols w:space="720"/>
          <w:titlePg/>
          <w:docGrid w:linePitch="360"/>
        </w:sectPr>
      </w:pPr>
    </w:p>
    <w:p w14:paraId="0552746E" w14:textId="77777777" w:rsidR="00EB4B63" w:rsidRPr="004C00CD" w:rsidRDefault="00EB4B63" w:rsidP="00EB4B63">
      <w:pPr>
        <w:rPr>
          <w:iCs/>
        </w:rPr>
      </w:pPr>
    </w:p>
    <w:p w14:paraId="474963EC" w14:textId="77777777" w:rsidR="00C71BD2" w:rsidRDefault="00C71BD2"/>
    <w:sectPr w:rsidR="00C71BD2" w:rsidSect="000E3C09">
      <w:headerReference w:type="default" r:id="rId17"/>
      <w:headerReference w:type="first" r:id="rId18"/>
      <w:footerReference w:type="first" r:id="rId19"/>
      <w:footnotePr>
        <w:numFmt w:val="chicago"/>
        <w:numStart w:val="2"/>
      </w:footnotePr>
      <w:endnotePr>
        <w:numFmt w:val="decimal"/>
      </w:endnotePr>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1481" w14:textId="77777777" w:rsidR="00EB4B63" w:rsidRDefault="00EB4B63" w:rsidP="00EB4B63">
      <w:r>
        <w:separator/>
      </w:r>
    </w:p>
  </w:endnote>
  <w:endnote w:type="continuationSeparator" w:id="0">
    <w:p w14:paraId="4024CD7D" w14:textId="77777777" w:rsidR="00EB4B63" w:rsidRDefault="00EB4B63" w:rsidP="00EB4B63">
      <w:r>
        <w:continuationSeparator/>
      </w:r>
    </w:p>
  </w:endnote>
  <w:endnote w:id="1">
    <w:p w14:paraId="1D690CF4" w14:textId="33AE8F7D" w:rsidR="00EB4B63" w:rsidRPr="00EE2ECE" w:rsidRDefault="00EB4B63" w:rsidP="00EB4B63">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t xml:space="preserve">If we combine </w:t>
      </w:r>
      <w:r w:rsidRPr="00FA7D97">
        <w:rPr>
          <w:i/>
        </w:rPr>
        <w:t>discrete component units</w:t>
      </w:r>
      <w:r w:rsidRPr="00EE2ECE">
        <w:t xml:space="preserve"> and </w:t>
      </w:r>
      <w:r w:rsidRPr="00FA7D97">
        <w:rPr>
          <w:i/>
        </w:rPr>
        <w:t>remaining fund information</w:t>
      </w:r>
      <w:r w:rsidRPr="00EE2ECE">
        <w:t xml:space="preserve"> into one opinion unit under the circumstances permi</w:t>
      </w:r>
      <w:r>
        <w:t>tted by footnote 7 to Exhibit 4</w:t>
      </w:r>
      <w:r w:rsidRPr="000108DE">
        <w:t>-</w:t>
      </w:r>
      <w:r w:rsidRPr="00EE2ECE">
        <w:t>1</w:t>
      </w:r>
      <w:r>
        <w:t xml:space="preserve"> </w:t>
      </w:r>
      <w:r w:rsidRPr="000108DE">
        <w:t>(following section 4.</w:t>
      </w:r>
      <w:r w:rsidR="00A87581">
        <w:t>78</w:t>
      </w:r>
      <w:r w:rsidRPr="000108DE">
        <w:t>)</w:t>
      </w:r>
      <w:r w:rsidRPr="00EE2ECE">
        <w:t xml:space="preserve"> in SLG, revise this phrase as follows:</w:t>
      </w:r>
    </w:p>
    <w:p w14:paraId="6222BDC9" w14:textId="77777777" w:rsidR="00EB4B63" w:rsidRPr="00EE2ECE" w:rsidRDefault="00EB4B63" w:rsidP="00EB4B63">
      <w:pPr>
        <w:pStyle w:val="EndnoteText"/>
        <w:widowControl w:val="0"/>
        <w:tabs>
          <w:tab w:val="left" w:pos="0"/>
          <w:tab w:val="left" w:pos="547"/>
          <w:tab w:val="left" w:pos="936"/>
          <w:tab w:val="left" w:pos="1440"/>
          <w:tab w:val="left" w:pos="1987"/>
        </w:tabs>
        <w:ind w:left="547" w:hanging="547"/>
      </w:pPr>
    </w:p>
    <w:p w14:paraId="69D7BD5B" w14:textId="77777777" w:rsidR="00EB4B63" w:rsidRPr="00EE2ECE" w:rsidRDefault="00EB4B63" w:rsidP="00EB4B63">
      <w:pPr>
        <w:pStyle w:val="EndnoteText"/>
        <w:widowControl w:val="0"/>
        <w:tabs>
          <w:tab w:val="left" w:pos="0"/>
          <w:tab w:val="left" w:pos="547"/>
          <w:tab w:val="left" w:pos="936"/>
          <w:tab w:val="left" w:pos="1440"/>
          <w:tab w:val="left" w:pos="1987"/>
        </w:tabs>
        <w:ind w:left="547"/>
      </w:pPr>
      <w:r w:rsidRPr="00EE2ECE">
        <w:t xml:space="preserve">“ . . . governmental activities, the business-type activities, each major fund and the </w:t>
      </w:r>
      <w:r w:rsidRPr="00737ED4">
        <w:rPr>
          <w:b/>
          <w:bCs/>
        </w:rPr>
        <w:t>[aggregate]</w:t>
      </w:r>
      <w:r w:rsidRPr="00EE2ECE">
        <w:t xml:space="preserve"> discretely presented component unit and remaining fund information . . . “</w:t>
      </w:r>
    </w:p>
    <w:p w14:paraId="6DED3A4C" w14:textId="77777777" w:rsidR="00C507B9" w:rsidRDefault="00C507B9" w:rsidP="00C507B9">
      <w:pPr>
        <w:pStyle w:val="EndnoteText"/>
        <w:jc w:val="both"/>
      </w:pPr>
      <w:r>
        <w:t xml:space="preserve">   </w:t>
      </w:r>
    </w:p>
    <w:p w14:paraId="14883722" w14:textId="77777777" w:rsidR="00EB4B63" w:rsidRPr="00EE2ECE" w:rsidRDefault="00EB4B63" w:rsidP="00EB4B63">
      <w:pPr>
        <w:pStyle w:val="EndnoteText"/>
        <w:widowControl w:val="0"/>
        <w:tabs>
          <w:tab w:val="left" w:pos="0"/>
          <w:tab w:val="left" w:pos="547"/>
          <w:tab w:val="left" w:pos="936"/>
          <w:tab w:val="left" w:pos="1440"/>
          <w:tab w:val="left" w:pos="1987"/>
        </w:tabs>
        <w:ind w:left="547" w:hanging="547"/>
      </w:pPr>
    </w:p>
  </w:endnote>
  <w:endnote w:id="2">
    <w:p w14:paraId="61C6F252" w14:textId="00AA1C46" w:rsidR="00C507B9" w:rsidRDefault="00C507B9" w:rsidP="00C507B9">
      <w:pPr>
        <w:pStyle w:val="EndnoteText"/>
        <w:jc w:val="both"/>
      </w:pPr>
      <w:r>
        <w:rPr>
          <w:rStyle w:val="EndnoteReference"/>
        </w:rPr>
        <w:endnoteRef/>
      </w:r>
      <w:r>
        <w:t xml:space="preserve"> </w:t>
      </w:r>
      <w:r>
        <w:tab/>
        <w:t>Replace the highlighted text with the following if another reporting framework used:</w:t>
      </w:r>
    </w:p>
    <w:p w14:paraId="284B14F9" w14:textId="77777777" w:rsidR="00C507B9" w:rsidRDefault="00C507B9" w:rsidP="00C507B9">
      <w:pPr>
        <w:pStyle w:val="EndnoteText"/>
        <w:ind w:left="1260" w:hanging="540"/>
        <w:jc w:val="both"/>
      </w:pPr>
      <w:r>
        <w:t xml:space="preserve">AOS BASIS - </w:t>
      </w:r>
      <w:r w:rsidRPr="00E31EF4">
        <w:t xml:space="preserve">financial statements </w:t>
      </w:r>
      <w:r w:rsidRPr="003B4225">
        <w:t>of the cash balances, receipts and disbursements by fund type</w:t>
      </w:r>
    </w:p>
    <w:p w14:paraId="63705E7C" w14:textId="77777777" w:rsidR="00C507B9" w:rsidRDefault="00C507B9" w:rsidP="00C507B9">
      <w:pPr>
        <w:pStyle w:val="EndnoteText"/>
        <w:ind w:left="1710" w:hanging="990"/>
        <w:jc w:val="both"/>
      </w:pPr>
      <w:r>
        <w:t xml:space="preserve">OCBOA – </w:t>
      </w:r>
      <w:r w:rsidRPr="00543CF2">
        <w:rPr>
          <w:b/>
        </w:rPr>
        <w:t>[modified</w:t>
      </w:r>
      <w:r>
        <w:rPr>
          <w:b/>
        </w:rPr>
        <w:t>]</w:t>
      </w:r>
      <w:r>
        <w:t xml:space="preserve"> </w:t>
      </w:r>
      <w:r w:rsidRPr="00DC72C9">
        <w:t>cash</w:t>
      </w:r>
      <w:r w:rsidRPr="003B4225">
        <w:t>-basis</w:t>
      </w:r>
      <w:r>
        <w:t xml:space="preserve"> </w:t>
      </w:r>
      <w:r w:rsidRPr="00F549B2">
        <w:t xml:space="preserve">financial statements of the governmental activities, business-type activities, the </w:t>
      </w:r>
      <w:r w:rsidRPr="00F549B2">
        <w:rPr>
          <w:b/>
        </w:rPr>
        <w:t>[aggregate]</w:t>
      </w:r>
      <w:r w:rsidRPr="00F549B2">
        <w:t xml:space="preserve"> discretely presented component unit</w:t>
      </w:r>
      <w:r>
        <w:rPr>
          <w:b/>
        </w:rPr>
        <w:t>(</w:t>
      </w:r>
      <w:r w:rsidRPr="00F549B2">
        <w:rPr>
          <w:b/>
        </w:rPr>
        <w:t>s</w:t>
      </w:r>
      <w:r>
        <w:rPr>
          <w:b/>
        </w:rPr>
        <w:t>),</w:t>
      </w:r>
      <w:r w:rsidRPr="00F549B2">
        <w:t xml:space="preserve"> each major fund, and the aggregate remaining fund information</w:t>
      </w:r>
    </w:p>
    <w:p w14:paraId="4ABA9A43" w14:textId="2C8BAA3E" w:rsidR="00C507B9" w:rsidRDefault="00C507B9">
      <w:pPr>
        <w:pStyle w:val="EndnoteText"/>
      </w:pPr>
    </w:p>
  </w:endnote>
  <w:endnote w:id="3">
    <w:p w14:paraId="48B7DC7B" w14:textId="6848B1E2" w:rsidR="00EB4B63" w:rsidRPr="00EE2ECE" w:rsidRDefault="00EB4B63" w:rsidP="00EB4B63">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t xml:space="preserve">As discussed in SLG </w:t>
      </w:r>
      <w:r>
        <w:t>1</w:t>
      </w:r>
      <w:r w:rsidR="00CF3EAA">
        <w:t>7</w:t>
      </w:r>
      <w:r>
        <w:t>.</w:t>
      </w:r>
      <w:r w:rsidR="00A87581">
        <w:t>69</w:t>
      </w:r>
      <w:r w:rsidRPr="00EE2ECE">
        <w:t xml:space="preserve">, insert “, a component unit of [PRIMARY GOVERNMENT],” if applicable.  </w:t>
      </w:r>
    </w:p>
    <w:p w14:paraId="50923F50" w14:textId="77777777" w:rsidR="00EB4B63" w:rsidRPr="00EE2ECE" w:rsidRDefault="00EB4B63" w:rsidP="00EB4B63">
      <w:pPr>
        <w:pStyle w:val="EndnoteText"/>
        <w:widowControl w:val="0"/>
        <w:tabs>
          <w:tab w:val="left" w:pos="0"/>
          <w:tab w:val="left" w:pos="547"/>
          <w:tab w:val="left" w:pos="936"/>
          <w:tab w:val="left" w:pos="1440"/>
          <w:tab w:val="left" w:pos="1987"/>
        </w:tabs>
        <w:ind w:left="547" w:hanging="547"/>
      </w:pPr>
    </w:p>
  </w:endnote>
  <w:endnote w:id="4">
    <w:p w14:paraId="37D0C5A1" w14:textId="0CB1F08E" w:rsidR="00C507B9" w:rsidRPr="00C507B9" w:rsidRDefault="00C507B9" w:rsidP="00C507B9">
      <w:pPr>
        <w:pStyle w:val="EndnoteText"/>
        <w:ind w:left="540" w:hanging="540"/>
        <w:jc w:val="both"/>
      </w:pPr>
      <w:r>
        <w:rPr>
          <w:rStyle w:val="EndnoteReference"/>
        </w:rPr>
        <w:endnoteRef/>
      </w:r>
      <w:r>
        <w:t xml:space="preserve"> </w:t>
      </w:r>
      <w:r>
        <w:tab/>
      </w:r>
      <w:r w:rsidRPr="00C507B9">
        <w:t>Per AU-C 705.2</w:t>
      </w:r>
      <w:r w:rsidR="008C3F9E">
        <w:t>8</w:t>
      </w:r>
      <w:r w:rsidRPr="00C507B9">
        <w:t xml:space="preserve"> - Even if the auditor has expressed an adverse opinion or disclaimed an opinion on the financial statements, the auditor should:</w:t>
      </w:r>
    </w:p>
    <w:p w14:paraId="5F3A70CD" w14:textId="34045D47" w:rsidR="00C507B9" w:rsidRPr="00C507B9" w:rsidRDefault="00C507B9" w:rsidP="00C507B9">
      <w:pPr>
        <w:pStyle w:val="EndnoteText"/>
        <w:numPr>
          <w:ilvl w:val="0"/>
          <w:numId w:val="4"/>
        </w:numPr>
        <w:jc w:val="both"/>
      </w:pPr>
      <w:r w:rsidRPr="00C507B9">
        <w:t xml:space="preserve">Describe the </w:t>
      </w:r>
      <w:r w:rsidR="008C3F9E">
        <w:t>reasons for any other matters of which the auditor is aware that would have required a modification to the opinion</w:t>
      </w:r>
      <w:r w:rsidRPr="00C507B9">
        <w:t xml:space="preserve">, and </w:t>
      </w:r>
    </w:p>
    <w:p w14:paraId="600654F8" w14:textId="705CE95A" w:rsidR="00C507B9" w:rsidRPr="00C507B9" w:rsidRDefault="008C3F9E" w:rsidP="00C507B9">
      <w:pPr>
        <w:pStyle w:val="EndnoteText"/>
        <w:numPr>
          <w:ilvl w:val="0"/>
          <w:numId w:val="4"/>
        </w:numPr>
        <w:jc w:val="both"/>
      </w:pPr>
      <w:r>
        <w:t>The effects thereof, in the “Basis of Opinion” section</w:t>
      </w:r>
      <w:r w:rsidR="00C507B9" w:rsidRPr="00C507B9">
        <w:t>.</w:t>
      </w:r>
    </w:p>
    <w:p w14:paraId="0A489D64" w14:textId="35F92015" w:rsidR="00C507B9" w:rsidRDefault="00C507B9">
      <w:pPr>
        <w:pStyle w:val="EndnoteText"/>
      </w:pPr>
    </w:p>
  </w:endnote>
  <w:endnote w:id="5">
    <w:p w14:paraId="0F700F6B" w14:textId="25B3EC8F" w:rsidR="00EB4B63" w:rsidRPr="001229F9" w:rsidRDefault="00EB4B63" w:rsidP="00EB4B63">
      <w:pPr>
        <w:ind w:left="540" w:hanging="540"/>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sidRPr="003C4BEA">
        <w:t xml:space="preserve"> </w:t>
      </w:r>
      <w:r>
        <w:rPr>
          <w:u w:val="single"/>
        </w:rPr>
        <w:t>affects</w:t>
      </w:r>
      <w:r w:rsidRPr="001229F9">
        <w:t xml:space="preserve"> the financial statements</w:t>
      </w:r>
      <w:r w:rsidR="008C3F9E">
        <w:t xml:space="preserve"> or disclosures</w:t>
      </w:r>
      <w:r w:rsidRPr="001229F9">
        <w:t xml:space="preserve"> (see AU-C 708.08)</w:t>
      </w:r>
      <w:r>
        <w:t xml:space="preserve">. </w:t>
      </w:r>
    </w:p>
    <w:p w14:paraId="590C3F3B" w14:textId="77777777" w:rsidR="00EB4B63" w:rsidRDefault="00EB4B63" w:rsidP="00EB4B63">
      <w:pPr>
        <w:pStyle w:val="EndnoteText"/>
      </w:pPr>
    </w:p>
    <w:p w14:paraId="45E29F96" w14:textId="77AEE1A9" w:rsidR="00EB4B63" w:rsidRPr="00E31FB1" w:rsidRDefault="00EB4B63" w:rsidP="00EB4B63">
      <w:pPr>
        <w:pStyle w:val="EndnoteText"/>
        <w:ind w:left="540"/>
        <w:rPr>
          <w:i/>
          <w:color w:val="FF0000"/>
        </w:rPr>
      </w:pPr>
      <w:r w:rsidRPr="00E31FB1">
        <w:rPr>
          <w:i/>
          <w:color w:val="FF0000"/>
        </w:rPr>
        <w:t xml:space="preserve">Do not include EOM </w:t>
      </w:r>
      <w:r w:rsidR="00A87581">
        <w:rPr>
          <w:i/>
          <w:color w:val="FF0000"/>
        </w:rPr>
        <w:t>sections</w:t>
      </w:r>
      <w:r w:rsidRPr="00E31FB1">
        <w:rPr>
          <w:i/>
          <w:color w:val="FF0000"/>
        </w:rPr>
        <w:t xml:space="preserve"> for new standards with immaterial financial statement </w:t>
      </w:r>
      <w:r w:rsidR="008C3F9E">
        <w:rPr>
          <w:i/>
          <w:color w:val="FF0000"/>
        </w:rPr>
        <w:t xml:space="preserve">or disclosure </w:t>
      </w:r>
      <w:r w:rsidRPr="00E31FB1">
        <w:rPr>
          <w:i/>
          <w:color w:val="FF0000"/>
        </w:rPr>
        <w:t>effects.</w:t>
      </w:r>
    </w:p>
    <w:p w14:paraId="22111F93" w14:textId="77777777" w:rsidR="00EB4B63" w:rsidRPr="00CA09D1" w:rsidRDefault="00EB4B63" w:rsidP="00EB4B63">
      <w:pPr>
        <w:pStyle w:val="EndnoteText"/>
        <w:ind w:left="720"/>
        <w:rPr>
          <w:i/>
        </w:rPr>
      </w:pPr>
    </w:p>
  </w:endnote>
  <w:endnote w:id="6">
    <w:p w14:paraId="43FE0664" w14:textId="77777777" w:rsidR="00C507B9" w:rsidRDefault="00C507B9" w:rsidP="00C507B9">
      <w:pPr>
        <w:pStyle w:val="EndnoteText"/>
        <w:jc w:val="both"/>
      </w:pPr>
      <w:r>
        <w:rPr>
          <w:rStyle w:val="EndnoteReference"/>
        </w:rPr>
        <w:endnoteRef/>
      </w:r>
      <w:r>
        <w:t xml:space="preserve"> </w:t>
      </w:r>
      <w:r>
        <w:tab/>
        <w:t>Replace the highlighted text with the following if another reporting framework used:</w:t>
      </w:r>
    </w:p>
    <w:p w14:paraId="0347F15D" w14:textId="254791C9" w:rsidR="00C507B9" w:rsidRDefault="00C507B9" w:rsidP="00C507B9">
      <w:pPr>
        <w:pStyle w:val="EndnoteText"/>
        <w:ind w:left="1260" w:hanging="540"/>
        <w:jc w:val="both"/>
      </w:pPr>
      <w:r>
        <w:t xml:space="preserve">AOS BASIS - </w:t>
      </w:r>
      <w:r w:rsidRPr="0093527B">
        <w:t>the financial reporting provisions Ohio Revised Code Section 117.38 and Ohio Administrative Code Section 117-2-03(</w:t>
      </w:r>
      <w:r>
        <w:t>C</w:t>
      </w:r>
      <w:r w:rsidRPr="0093527B">
        <w:t>) permit</w:t>
      </w:r>
      <w:r>
        <w:t xml:space="preserve">; </w:t>
      </w:r>
      <w:r w:rsidR="007407C8">
        <w:t xml:space="preserve">and </w:t>
      </w:r>
    </w:p>
    <w:p w14:paraId="7A0337C0" w14:textId="05AE41C6" w:rsidR="00C507B9" w:rsidRDefault="00C507B9" w:rsidP="00C507B9">
      <w:pPr>
        <w:pStyle w:val="EndnoteText"/>
        <w:ind w:left="1260" w:hanging="540"/>
        <w:jc w:val="both"/>
      </w:pPr>
      <w:r>
        <w:t xml:space="preserve">OCBOA – </w:t>
      </w:r>
      <w:r w:rsidR="007407C8">
        <w:t xml:space="preserve">the </w:t>
      </w:r>
      <w:r w:rsidRPr="00543CF2">
        <w:rPr>
          <w:b/>
        </w:rPr>
        <w:t>[modified</w:t>
      </w:r>
      <w:r>
        <w:rPr>
          <w:b/>
        </w:rPr>
        <w:t>]</w:t>
      </w:r>
      <w:r>
        <w:t xml:space="preserve"> </w:t>
      </w:r>
      <w:r w:rsidRPr="00DC72C9">
        <w:t xml:space="preserve">cash accounting basis </w:t>
      </w:r>
      <w:r w:rsidR="007407C8">
        <w:t xml:space="preserve">of accounting described in </w:t>
      </w:r>
      <w:r w:rsidRPr="00DC72C9">
        <w:t xml:space="preserve">Note </w:t>
      </w:r>
      <w:r w:rsidRPr="0023720E">
        <w:rPr>
          <w:b/>
        </w:rPr>
        <w:t>X</w:t>
      </w:r>
      <w:r w:rsidR="007407C8">
        <w:rPr>
          <w:b/>
        </w:rPr>
        <w:t xml:space="preserve">, </w:t>
      </w:r>
      <w:r w:rsidR="007407C8">
        <w:rPr>
          <w:bCs/>
        </w:rPr>
        <w:t>and for</w:t>
      </w:r>
      <w:r>
        <w:t xml:space="preserve"> determining that the </w:t>
      </w:r>
      <w:r w:rsidRPr="00543CF2">
        <w:rPr>
          <w:b/>
        </w:rPr>
        <w:t>[modified</w:t>
      </w:r>
      <w:r>
        <w:rPr>
          <w:b/>
        </w:rPr>
        <w:t>]</w:t>
      </w:r>
      <w:r>
        <w:t xml:space="preserve"> </w:t>
      </w:r>
      <w:r w:rsidRPr="00DC72C9">
        <w:t xml:space="preserve">cash </w:t>
      </w:r>
      <w:r w:rsidR="007407C8">
        <w:t xml:space="preserve">basis of </w:t>
      </w:r>
      <w:r w:rsidRPr="00DC72C9">
        <w:t xml:space="preserve">accounting is </w:t>
      </w:r>
      <w:r w:rsidR="007407C8">
        <w:t xml:space="preserve">an </w:t>
      </w:r>
      <w:r w:rsidRPr="00DC72C9">
        <w:t xml:space="preserve">acceptable </w:t>
      </w:r>
      <w:r w:rsidR="007407C8">
        <w:t>basis for preparation of the financial statements in</w:t>
      </w:r>
      <w:r w:rsidRPr="00DC72C9">
        <w:t xml:space="preserve"> the circumstances. Management is also responsible for</w:t>
      </w:r>
    </w:p>
    <w:p w14:paraId="09939C40" w14:textId="0882658C" w:rsidR="00C507B9" w:rsidRDefault="00C507B9">
      <w:pPr>
        <w:pStyle w:val="EndnoteText"/>
      </w:pPr>
    </w:p>
  </w:endnote>
  <w:endnote w:id="7">
    <w:p w14:paraId="39945E5C" w14:textId="20A4FA70" w:rsidR="00D65684" w:rsidRDefault="00D65684" w:rsidP="00D65684">
      <w:pPr>
        <w:pStyle w:val="EndnoteText"/>
        <w:tabs>
          <w:tab w:val="left" w:pos="540"/>
        </w:tabs>
        <w:ind w:left="540" w:hanging="540"/>
      </w:pPr>
      <w:r>
        <w:rPr>
          <w:rStyle w:val="EndnoteReference"/>
        </w:rPr>
        <w:endnoteRef/>
      </w:r>
      <w:r>
        <w:t xml:space="preserve"> </w:t>
      </w:r>
      <w:r>
        <w:tab/>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7428531B" w14:textId="77777777" w:rsidR="00D65684" w:rsidRDefault="00D65684" w:rsidP="00737ED4">
      <w:pPr>
        <w:pStyle w:val="EndnoteText"/>
        <w:tabs>
          <w:tab w:val="left" w:pos="540"/>
        </w:tabs>
        <w:ind w:left="540" w:hanging="540"/>
      </w:pPr>
    </w:p>
  </w:endnote>
  <w:endnote w:id="8">
    <w:p w14:paraId="36E818AF" w14:textId="35C8A059" w:rsidR="00EB4B63" w:rsidRPr="00A66133" w:rsidRDefault="00EB4B63" w:rsidP="00EB4B63">
      <w:pPr>
        <w:pStyle w:val="EndnoteText"/>
      </w:pPr>
      <w:r>
        <w:rPr>
          <w:rStyle w:val="EndnoteReference"/>
        </w:rPr>
        <w:endnoteRef/>
      </w:r>
      <w:r>
        <w:t xml:space="preserve">        </w:t>
      </w:r>
      <w:r w:rsidRPr="00A66133">
        <w:t xml:space="preserve">Modify this </w:t>
      </w:r>
      <w:r w:rsidR="00A87581">
        <w:t>section</w:t>
      </w:r>
      <w:r w:rsidRPr="00A66133">
        <w:t xml:space="preserve"> in the following circumstances.  See AU</w:t>
      </w:r>
      <w:r>
        <w:t>-C</w:t>
      </w:r>
      <w:r w:rsidRPr="00A66133">
        <w:t xml:space="preserve"> </w:t>
      </w:r>
      <w:r>
        <w:t xml:space="preserve">730 </w:t>
      </w:r>
      <w:r w:rsidRPr="009B00B4">
        <w:t>and SLG 1</w:t>
      </w:r>
      <w:r w:rsidR="00CF3EAA">
        <w:t>7</w:t>
      </w:r>
      <w:r w:rsidRPr="009B00B4">
        <w:t>.</w:t>
      </w:r>
      <w:r w:rsidR="00A87581">
        <w:t>7</w:t>
      </w:r>
      <w:r w:rsidR="000F35A0">
        <w:t>7</w:t>
      </w:r>
      <w:r w:rsidR="00A87581">
        <w:t>-.83</w:t>
      </w:r>
      <w:r w:rsidRPr="00A66133">
        <w:t>:</w:t>
      </w:r>
    </w:p>
    <w:p w14:paraId="0107BA7C" w14:textId="77777777" w:rsidR="00EB4B63" w:rsidRPr="00A66133" w:rsidRDefault="00EB4B63" w:rsidP="00EB4B63">
      <w:pPr>
        <w:pStyle w:val="ListParagraph"/>
        <w:numPr>
          <w:ilvl w:val="0"/>
          <w:numId w:val="1"/>
        </w:numPr>
        <w:rPr>
          <w:color w:val="000000"/>
        </w:rPr>
      </w:pPr>
      <w:r w:rsidRPr="00A66133">
        <w:rPr>
          <w:color w:val="000000"/>
        </w:rPr>
        <w:t xml:space="preserve">The </w:t>
      </w:r>
      <w:r w:rsidRPr="00A66133">
        <w:rPr>
          <w:color w:val="000000"/>
          <w:u w:val="single"/>
        </w:rPr>
        <w:t>required</w:t>
      </w:r>
      <w:r w:rsidRPr="00A66133">
        <w:rPr>
          <w:color w:val="000000"/>
        </w:rPr>
        <w:t xml:space="preserve"> supplementary information is omitted. </w:t>
      </w:r>
    </w:p>
    <w:p w14:paraId="2089D069" w14:textId="77777777" w:rsidR="00EB4B63" w:rsidRPr="00A66133" w:rsidRDefault="00EB4B63" w:rsidP="00EB4B63">
      <w:pPr>
        <w:pStyle w:val="ListParagraph"/>
        <w:numPr>
          <w:ilvl w:val="0"/>
          <w:numId w:val="1"/>
        </w:numPr>
        <w:rPr>
          <w:color w:val="000000"/>
        </w:rPr>
      </w:pPr>
      <w:r w:rsidRPr="00A66133">
        <w:rPr>
          <w:color w:val="000000"/>
        </w:rPr>
        <w:t xml:space="preserve">Some required supplementary information is missing and some is presented in accordance with the prescribed guidelines. </w:t>
      </w:r>
    </w:p>
    <w:p w14:paraId="620D09CF" w14:textId="77777777" w:rsidR="00EB4B63" w:rsidRPr="00A66133" w:rsidRDefault="00EB4B63" w:rsidP="00EB4B63">
      <w:pPr>
        <w:pStyle w:val="ListParagraph"/>
        <w:numPr>
          <w:ilvl w:val="0"/>
          <w:numId w:val="1"/>
        </w:numPr>
        <w:rPr>
          <w:color w:val="000000"/>
        </w:rPr>
      </w:pPr>
      <w:r w:rsidRPr="00A66133">
        <w:rPr>
          <w:color w:val="000000"/>
        </w:rPr>
        <w:t xml:space="preserve">The auditor has identified material departures from the prescribed guidelines. </w:t>
      </w:r>
    </w:p>
    <w:p w14:paraId="293E4259" w14:textId="77777777" w:rsidR="00EB4B63" w:rsidRPr="00A66133" w:rsidRDefault="00EB4B63" w:rsidP="00EB4B63">
      <w:pPr>
        <w:pStyle w:val="ListParagraph"/>
        <w:numPr>
          <w:ilvl w:val="0"/>
          <w:numId w:val="1"/>
        </w:numPr>
        <w:rPr>
          <w:color w:val="000000"/>
        </w:rPr>
      </w:pPr>
      <w:r w:rsidRPr="00A66133">
        <w:rPr>
          <w:color w:val="000000"/>
        </w:rPr>
        <w:t>The auditor is unable to complete the procedures in AU</w:t>
      </w:r>
      <w:r>
        <w:rPr>
          <w:color w:val="000000"/>
        </w:rPr>
        <w:t>-C</w:t>
      </w:r>
      <w:r w:rsidRPr="00A66133">
        <w:rPr>
          <w:color w:val="000000"/>
        </w:rPr>
        <w:t xml:space="preserve"> </w:t>
      </w:r>
      <w:r>
        <w:rPr>
          <w:color w:val="000000"/>
        </w:rPr>
        <w:t>730.05</w:t>
      </w:r>
      <w:r w:rsidRPr="00A66133">
        <w:rPr>
          <w:color w:val="000000"/>
        </w:rPr>
        <w:t xml:space="preserve">. </w:t>
      </w:r>
    </w:p>
    <w:p w14:paraId="548420F4" w14:textId="13E23D4A" w:rsidR="00EB4B63" w:rsidRDefault="00EB4B63" w:rsidP="00EB4B63">
      <w:pPr>
        <w:pStyle w:val="ListParagraph"/>
        <w:numPr>
          <w:ilvl w:val="0"/>
          <w:numId w:val="1"/>
        </w:numPr>
        <w:rPr>
          <w:color w:val="000000"/>
        </w:rPr>
      </w:pPr>
      <w:r w:rsidRPr="00A66133">
        <w:rPr>
          <w:color w:val="000000"/>
        </w:rPr>
        <w:t xml:space="preserve">The auditor has unresolved doubts about whether the required supplementary information is presented in accordance with prescribed guidelines. </w:t>
      </w:r>
    </w:p>
    <w:p w14:paraId="3187D81F" w14:textId="77777777" w:rsidR="000F35A0" w:rsidRDefault="000F35A0" w:rsidP="00214F46">
      <w:pPr>
        <w:pStyle w:val="ListParagraph"/>
        <w:ind w:left="1080" w:hanging="540"/>
        <w:rPr>
          <w:color w:val="000000"/>
        </w:rPr>
      </w:pPr>
    </w:p>
    <w:p w14:paraId="30408B12" w14:textId="16255703" w:rsidR="000F35A0" w:rsidRPr="000F35A0" w:rsidRDefault="000F35A0" w:rsidP="00214F46">
      <w:pPr>
        <w:pStyle w:val="ListParagraph"/>
        <w:ind w:left="1080" w:hanging="540"/>
        <w:rPr>
          <w:color w:val="000000"/>
        </w:rPr>
      </w:pPr>
      <w:r w:rsidRPr="000F35A0">
        <w:rPr>
          <w:color w:val="000000"/>
        </w:rPr>
        <w:t>If all of the RSI is omitted, the section on RSI would be replaced with the following:</w:t>
      </w:r>
    </w:p>
    <w:p w14:paraId="3723F2CD" w14:textId="77777777" w:rsidR="000F35A0" w:rsidRPr="000F35A0" w:rsidRDefault="000F35A0" w:rsidP="000F35A0">
      <w:pPr>
        <w:pStyle w:val="ListParagraph"/>
        <w:ind w:left="1080"/>
        <w:rPr>
          <w:color w:val="000000"/>
        </w:rPr>
      </w:pPr>
    </w:p>
    <w:p w14:paraId="79268453" w14:textId="2CEAE53B" w:rsidR="000F35A0" w:rsidRPr="000F35A0" w:rsidRDefault="000F35A0" w:rsidP="000F35A0">
      <w:pPr>
        <w:pStyle w:val="ListParagraph"/>
        <w:ind w:left="1080"/>
        <w:rPr>
          <w:color w:val="000000"/>
        </w:rPr>
      </w:pPr>
      <w:r w:rsidRPr="000F35A0">
        <w:rPr>
          <w:color w:val="000000"/>
        </w:rPr>
        <w:t xml:space="preserve">Management has omitted </w:t>
      </w:r>
      <w:r w:rsidRPr="00737ED4">
        <w:rPr>
          <w:b/>
          <w:bCs/>
          <w:i/>
          <w:iCs/>
          <w:color w:val="000000"/>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p>
    <w:p w14:paraId="55AF6CE5" w14:textId="77777777" w:rsidR="000F35A0" w:rsidRPr="000F35A0" w:rsidRDefault="000F35A0" w:rsidP="000F35A0">
      <w:pPr>
        <w:pStyle w:val="ListParagraph"/>
        <w:ind w:left="1080"/>
        <w:rPr>
          <w:color w:val="000000"/>
        </w:rPr>
      </w:pPr>
    </w:p>
    <w:p w14:paraId="695605A4" w14:textId="0B90E1E5" w:rsidR="000F35A0" w:rsidRPr="009238BF" w:rsidRDefault="000F35A0" w:rsidP="00214F46">
      <w:pPr>
        <w:pStyle w:val="ListParagraph"/>
        <w:ind w:left="540"/>
        <w:rPr>
          <w:b/>
          <w:color w:val="C00000"/>
        </w:rPr>
      </w:pPr>
      <w:r w:rsidRPr="000F35A0">
        <w:rPr>
          <w:color w:val="00000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r w:rsidR="00613E10">
        <w:rPr>
          <w:color w:val="000000"/>
        </w:rPr>
        <w:t xml:space="preserve">  </w:t>
      </w:r>
      <w:r w:rsidR="00613E10">
        <w:rPr>
          <w:b/>
          <w:color w:val="C00000"/>
        </w:rPr>
        <w:t>AOS auditors consult with CFAE for guidance.</w:t>
      </w:r>
    </w:p>
    <w:p w14:paraId="6BF11B90" w14:textId="52E849FD" w:rsidR="00EB4B63" w:rsidRDefault="00EB4B63" w:rsidP="00EB4B63">
      <w:pPr>
        <w:pStyle w:val="EndnoteText"/>
      </w:pPr>
    </w:p>
    <w:p w14:paraId="5107FB80" w14:textId="77777777" w:rsidR="00214F46" w:rsidRPr="00A66133" w:rsidRDefault="00214F46" w:rsidP="00EB4B63">
      <w:pPr>
        <w:pStyle w:val="EndnoteText"/>
      </w:pPr>
    </w:p>
  </w:endnote>
  <w:endnote w:id="9">
    <w:p w14:paraId="1BBB44DF" w14:textId="54FC977E" w:rsidR="00EB4B63" w:rsidRPr="00A66133" w:rsidRDefault="00EB4B63" w:rsidP="00EB4B63">
      <w:pPr>
        <w:pStyle w:val="EndnoteText"/>
        <w:tabs>
          <w:tab w:val="left" w:pos="547"/>
        </w:tabs>
        <w:ind w:left="547" w:hanging="547"/>
      </w:pPr>
      <w:r w:rsidRPr="00A66133">
        <w:rPr>
          <w:rStyle w:val="EndnoteReference"/>
        </w:rPr>
        <w:endnoteRef/>
      </w:r>
      <w:r w:rsidRPr="00A66133">
        <w:tab/>
        <w:t xml:space="preserve">Modify the list of </w:t>
      </w:r>
      <w:r w:rsidRPr="00A66133">
        <w:rPr>
          <w:i/>
        </w:rPr>
        <w:t>supplementary information</w:t>
      </w:r>
      <w:r w:rsidRPr="00A66133">
        <w:t xml:space="preserve"> </w:t>
      </w:r>
      <w:r w:rsidR="00A87581">
        <w:t>section</w:t>
      </w:r>
      <w:r>
        <w:t xml:space="preserve"> </w:t>
      </w:r>
      <w:r w:rsidRPr="00A66133">
        <w:t xml:space="preserve">as necessary.  </w:t>
      </w:r>
      <w:r w:rsidRPr="009B00B4">
        <w:t>See SLG 1</w:t>
      </w:r>
      <w:r w:rsidR="00CF3EAA">
        <w:t>7</w:t>
      </w:r>
      <w:r w:rsidRPr="009B00B4">
        <w:t>.</w:t>
      </w:r>
      <w:r w:rsidR="00A87581">
        <w:t>84-.89</w:t>
      </w:r>
      <w:r w:rsidRPr="009B00B4">
        <w:t xml:space="preserve">.  </w:t>
      </w:r>
      <w:r w:rsidRPr="00A66133">
        <w:t>Also:</w:t>
      </w:r>
    </w:p>
    <w:p w14:paraId="1401FE2E" w14:textId="77777777" w:rsidR="00EB4B63" w:rsidRDefault="00EB4B63" w:rsidP="00EB4B63">
      <w:pPr>
        <w:pStyle w:val="EndnoteText"/>
        <w:numPr>
          <w:ilvl w:val="0"/>
          <w:numId w:val="2"/>
        </w:numPr>
        <w:tabs>
          <w:tab w:val="left" w:pos="547"/>
        </w:tabs>
      </w:pPr>
      <w:r w:rsidRPr="00A66133">
        <w:t xml:space="preserve">We must disclaim on this information if we render an adverse opinion or disclaimer of opinion.  </w:t>
      </w:r>
      <w:r>
        <w:t>AOS auditors c</w:t>
      </w:r>
      <w:r w:rsidRPr="00A66133">
        <w:t xml:space="preserve">onsult with </w:t>
      </w:r>
      <w:r>
        <w:t>CFAE</w:t>
      </w:r>
      <w:r w:rsidRPr="00A66133">
        <w:t>.</w:t>
      </w:r>
    </w:p>
    <w:p w14:paraId="2B80F3B1" w14:textId="77777777" w:rsidR="00EB4B63" w:rsidRDefault="00EB4B63" w:rsidP="00EB4B63">
      <w:pPr>
        <w:pStyle w:val="ListParagraph"/>
      </w:pPr>
    </w:p>
    <w:p w14:paraId="5C8129F4" w14:textId="77777777" w:rsidR="00A87581" w:rsidRPr="000108DE" w:rsidRDefault="00A87581" w:rsidP="00EB4B63">
      <w:pPr>
        <w:pStyle w:val="EndnoteText"/>
        <w:tabs>
          <w:tab w:val="left" w:pos="547"/>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58110"/>
      <w:docPartObj>
        <w:docPartGallery w:val="Page Numbers (Bottom of Page)"/>
        <w:docPartUnique/>
      </w:docPartObj>
    </w:sdtPr>
    <w:sdtEndPr>
      <w:rPr>
        <w:noProof/>
      </w:rPr>
    </w:sdtEndPr>
    <w:sdtContent>
      <w:p w14:paraId="5DEF07B3" w14:textId="5E72C406" w:rsidR="000A1A0F" w:rsidRDefault="000A1A0F">
        <w:pPr>
          <w:pStyle w:val="Footer"/>
          <w:jc w:val="center"/>
        </w:pPr>
        <w:r>
          <w:fldChar w:fldCharType="begin"/>
        </w:r>
        <w:r>
          <w:instrText xml:space="preserve"> PAGE   \* MERGEFORMAT </w:instrText>
        </w:r>
        <w:r>
          <w:fldChar w:fldCharType="separate"/>
        </w:r>
        <w:r w:rsidR="00CF3EAA">
          <w:rPr>
            <w:noProof/>
          </w:rPr>
          <w:t>5</w:t>
        </w:r>
        <w:r>
          <w:rPr>
            <w:noProof/>
          </w:rPr>
          <w:fldChar w:fldCharType="end"/>
        </w:r>
      </w:p>
    </w:sdtContent>
  </w:sdt>
  <w:p w14:paraId="0FDF1BE3" w14:textId="77777777" w:rsidR="000A1A0F" w:rsidRDefault="000A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3901" w14:textId="77777777" w:rsidR="00171F65" w:rsidRDefault="00171F65" w:rsidP="00171F65">
    <w:pPr>
      <w:pStyle w:val="Footer"/>
      <w:jc w:val="center"/>
    </w:pPr>
  </w:p>
  <w:p w14:paraId="0921C252" w14:textId="77777777" w:rsidR="00171F65" w:rsidRDefault="007132A7" w:rsidP="00171F65">
    <w:pPr>
      <w:pStyle w:val="Footer"/>
      <w:tabs>
        <w:tab w:val="clear" w:pos="4680"/>
      </w:tabs>
      <w:jc w:val="center"/>
    </w:pPr>
    <w:sdt>
      <w:sdtPr>
        <w:rPr>
          <w:noProof/>
        </w:rPr>
        <w:id w:val="2100210271"/>
        <w:docPartObj>
          <w:docPartGallery w:val="Page Numbers (Bottom of Page)"/>
          <w:docPartUnique/>
        </w:docPartObj>
      </w:sdtPr>
      <w:sdtEndPr/>
      <w:sdtContent>
        <w:r w:rsidR="00171F65">
          <w:rPr>
            <w:noProof/>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FF8A" w14:textId="77777777" w:rsidR="009B47B5" w:rsidRPr="00A83264" w:rsidRDefault="007132A7" w:rsidP="00A83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B8CB" w14:textId="77777777" w:rsidR="00EB4B63" w:rsidRDefault="00EB4B63" w:rsidP="00EB4B63">
      <w:r>
        <w:separator/>
      </w:r>
    </w:p>
  </w:footnote>
  <w:footnote w:type="continuationSeparator" w:id="0">
    <w:p w14:paraId="2C604504" w14:textId="77777777" w:rsidR="00EB4B63" w:rsidRDefault="00EB4B63" w:rsidP="00EB4B63">
      <w:r>
        <w:continuationSeparator/>
      </w:r>
    </w:p>
  </w:footnote>
  <w:footnote w:id="1">
    <w:p w14:paraId="70AB9C82" w14:textId="556BB403" w:rsidR="00EB4B63" w:rsidRPr="00087803" w:rsidRDefault="00EB4B63" w:rsidP="00EB4B63">
      <w:pPr>
        <w:pStyle w:val="FootnoteText"/>
        <w:rPr>
          <w:u w:val="double"/>
        </w:rPr>
      </w:pPr>
      <w:r>
        <w:rPr>
          <w:rStyle w:val="FootnoteReference"/>
        </w:rPr>
        <w:footnoteRef/>
      </w:r>
      <w:r>
        <w:t xml:space="preserve"> </w:t>
      </w:r>
      <w:r w:rsidRPr="00087803">
        <w:rPr>
          <w:u w:val="double"/>
        </w:rPr>
        <w:t>Revised</w:t>
      </w:r>
      <w:r>
        <w:rPr>
          <w:u w:val="double"/>
        </w:rPr>
        <w:t xml:space="preserve"> </w:t>
      </w:r>
      <w:r w:rsidR="00BC6334">
        <w:rPr>
          <w:u w:val="double"/>
        </w:rPr>
        <w:t>June</w:t>
      </w:r>
      <w:r w:rsidR="00CF3EAA">
        <w:rPr>
          <w:u w:val="double"/>
        </w:rPr>
        <w:t xml:space="preserve"> 202</w:t>
      </w:r>
      <w:r w:rsidR="00BC6334">
        <w:rPr>
          <w:u w:val="double"/>
        </w:rPr>
        <w:t>3</w:t>
      </w:r>
      <w:r w:rsidR="00CF3EAA">
        <w:rPr>
          <w:u w:val="double"/>
        </w:rPr>
        <w:t xml:space="preserve"> for SLG updates (changes not marked). </w:t>
      </w:r>
      <w:r w:rsidR="009238BF" w:rsidRPr="00737ED4">
        <w:rPr>
          <w:strike/>
        </w:rPr>
        <w:t>June</w:t>
      </w:r>
      <w:r w:rsidR="00016A99" w:rsidRPr="00737ED4">
        <w:rPr>
          <w:strike/>
        </w:rPr>
        <w:t>, 202</w:t>
      </w:r>
      <w:r w:rsidR="00FC496E" w:rsidRPr="00737ED4">
        <w:rPr>
          <w:strike/>
        </w:rPr>
        <w:t>2</w:t>
      </w:r>
      <w:r w:rsidRPr="00737ED4">
        <w:rPr>
          <w:strike/>
        </w:rPr>
        <w:t xml:space="preserve"> for SAS 134 – SAS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F72A" w14:textId="0ACF2CF5" w:rsidR="00EB4B63" w:rsidRDefault="007A0713">
    <w:pPr>
      <w:pStyle w:val="Header"/>
    </w:pPr>
    <w:r>
      <w:rPr>
        <w:highlight w:val="lightGray"/>
      </w:rPr>
      <w:t>Entity Name</w:t>
    </w:r>
  </w:p>
  <w:p w14:paraId="5DF1CE90" w14:textId="15D1B1CC" w:rsidR="00EB4B63" w:rsidRDefault="007A0713">
    <w:pPr>
      <w:pStyle w:val="Header"/>
    </w:pPr>
    <w:r>
      <w:rPr>
        <w:highlight w:val="lightGray"/>
      </w:rPr>
      <w:t>County Name</w:t>
    </w:r>
  </w:p>
  <w:p w14:paraId="208E4F05" w14:textId="77777777" w:rsidR="00EB4B63" w:rsidRDefault="00EB4B63">
    <w:pPr>
      <w:pStyle w:val="Header"/>
    </w:pPr>
    <w:r>
      <w:t>Independent Auditor’s Report</w:t>
    </w:r>
  </w:p>
  <w:p w14:paraId="0E7A2B17" w14:textId="605EB656" w:rsidR="00EB4B63" w:rsidRDefault="00EB4B63">
    <w:pPr>
      <w:pStyle w:val="Header"/>
      <w:rPr>
        <w:noProof/>
      </w:rPr>
    </w:pPr>
    <w:r>
      <w:t>Page</w:t>
    </w:r>
    <w:r w:rsidR="00417A08">
      <w:t xml:space="preserve"> </w:t>
    </w:r>
    <w:r w:rsidR="00417A08">
      <w:fldChar w:fldCharType="begin"/>
    </w:r>
    <w:r w:rsidR="00417A08">
      <w:instrText xml:space="preserve"> PAGE   \* MERGEFORMAT </w:instrText>
    </w:r>
    <w:r w:rsidR="00417A08">
      <w:fldChar w:fldCharType="separate"/>
    </w:r>
    <w:r w:rsidR="00CF3EAA">
      <w:rPr>
        <w:noProof/>
      </w:rPr>
      <w:t>3</w:t>
    </w:r>
    <w:r w:rsidR="00417A08">
      <w:rPr>
        <w:noProof/>
      </w:rPr>
      <w:fldChar w:fldCharType="end"/>
    </w:r>
  </w:p>
  <w:p w14:paraId="087D518D" w14:textId="77777777" w:rsidR="00AB77F4" w:rsidRDefault="00AB77F4">
    <w:pPr>
      <w:pStyle w:val="Header"/>
      <w:rPr>
        <w:noProof/>
      </w:rPr>
    </w:pPr>
  </w:p>
  <w:p w14:paraId="7FD3D4A3" w14:textId="77777777" w:rsidR="00EB4B63" w:rsidRDefault="00EB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D244" w14:textId="77777777" w:rsidR="00F84CFB" w:rsidRDefault="00F84CFB" w:rsidP="00F84CFB">
    <w:pPr>
      <w:pStyle w:val="Header"/>
      <w:ind w:left="-900"/>
      <w:jc w:val="center"/>
    </w:pPr>
    <w:r>
      <w:rPr>
        <w:b/>
        <w:bCs/>
        <w:color w:val="FF0000"/>
      </w:rPr>
      <w:ptab w:relativeTo="margin" w:alignment="left" w:leader="none"/>
    </w:r>
    <w:r>
      <w:rPr>
        <w:b/>
        <w:bCs/>
        <w:color w:val="FF0000"/>
      </w:rPr>
      <w:t xml:space="preserve"> IPAs: Insert IPA </w:t>
    </w:r>
    <w:proofErr w:type="gramStart"/>
    <w:r>
      <w:rPr>
        <w:b/>
        <w:bCs/>
        <w:color w:val="FF0000"/>
      </w:rPr>
      <w:t>letterhead</w:t>
    </w:r>
    <w:proofErr w:type="gramEnd"/>
  </w:p>
  <w:p w14:paraId="4D0C4315" w14:textId="77777777" w:rsidR="00F84CFB" w:rsidRDefault="00F84CFB" w:rsidP="00F84CFB">
    <w:pPr>
      <w:pStyle w:val="Header"/>
    </w:pPr>
  </w:p>
  <w:p w14:paraId="368E767E" w14:textId="5A84258F" w:rsidR="00EB4B63" w:rsidRDefault="00EB4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20F9" w14:textId="77777777" w:rsidR="009B47B5" w:rsidRDefault="00713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EA5A" w14:textId="77777777" w:rsidR="009B47B5" w:rsidRDefault="0071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6C87"/>
    <w:multiLevelType w:val="hybridMultilevel"/>
    <w:tmpl w:val="6C4E58D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2449912">
    <w:abstractNumId w:val="1"/>
  </w:num>
  <w:num w:numId="2" w16cid:durableId="95487034">
    <w:abstractNumId w:val="3"/>
  </w:num>
  <w:num w:numId="3" w16cid:durableId="445929788">
    <w:abstractNumId w:val="2"/>
  </w:num>
  <w:num w:numId="4" w16cid:durableId="195752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63"/>
    <w:rsid w:val="00016A99"/>
    <w:rsid w:val="000831EA"/>
    <w:rsid w:val="00086E81"/>
    <w:rsid w:val="000974C0"/>
    <w:rsid w:val="000A1A0F"/>
    <w:rsid w:val="000E3C09"/>
    <w:rsid w:val="000F35A0"/>
    <w:rsid w:val="00126BBA"/>
    <w:rsid w:val="0012735D"/>
    <w:rsid w:val="001427BB"/>
    <w:rsid w:val="001655F6"/>
    <w:rsid w:val="00171F65"/>
    <w:rsid w:val="00175725"/>
    <w:rsid w:val="001803C1"/>
    <w:rsid w:val="00196D28"/>
    <w:rsid w:val="001C41FE"/>
    <w:rsid w:val="001D1E16"/>
    <w:rsid w:val="001E4814"/>
    <w:rsid w:val="001F6B62"/>
    <w:rsid w:val="00213977"/>
    <w:rsid w:val="00214F46"/>
    <w:rsid w:val="00237621"/>
    <w:rsid w:val="002732B5"/>
    <w:rsid w:val="00281BEC"/>
    <w:rsid w:val="002B637F"/>
    <w:rsid w:val="002D2146"/>
    <w:rsid w:val="002D2988"/>
    <w:rsid w:val="002E6FF8"/>
    <w:rsid w:val="002F4232"/>
    <w:rsid w:val="003011FA"/>
    <w:rsid w:val="00306B3C"/>
    <w:rsid w:val="0032344F"/>
    <w:rsid w:val="00350355"/>
    <w:rsid w:val="00374673"/>
    <w:rsid w:val="00397DCF"/>
    <w:rsid w:val="003D636E"/>
    <w:rsid w:val="003D794D"/>
    <w:rsid w:val="00417A08"/>
    <w:rsid w:val="00464861"/>
    <w:rsid w:val="004B560C"/>
    <w:rsid w:val="005C4B41"/>
    <w:rsid w:val="005D0677"/>
    <w:rsid w:val="00611240"/>
    <w:rsid w:val="00613E10"/>
    <w:rsid w:val="0062217E"/>
    <w:rsid w:val="006470EC"/>
    <w:rsid w:val="006616EF"/>
    <w:rsid w:val="00681DEF"/>
    <w:rsid w:val="00685352"/>
    <w:rsid w:val="007132A7"/>
    <w:rsid w:val="007161FD"/>
    <w:rsid w:val="00737ED4"/>
    <w:rsid w:val="007407C8"/>
    <w:rsid w:val="007466DC"/>
    <w:rsid w:val="00753156"/>
    <w:rsid w:val="00797529"/>
    <w:rsid w:val="007A0713"/>
    <w:rsid w:val="007A5D66"/>
    <w:rsid w:val="008242A1"/>
    <w:rsid w:val="00825E00"/>
    <w:rsid w:val="008A17B1"/>
    <w:rsid w:val="008B5B97"/>
    <w:rsid w:val="008C3F9E"/>
    <w:rsid w:val="008E5D9E"/>
    <w:rsid w:val="00917FE0"/>
    <w:rsid w:val="009238BF"/>
    <w:rsid w:val="00925CBE"/>
    <w:rsid w:val="00936FF0"/>
    <w:rsid w:val="00954573"/>
    <w:rsid w:val="00993336"/>
    <w:rsid w:val="009A4316"/>
    <w:rsid w:val="009B738E"/>
    <w:rsid w:val="00A06A46"/>
    <w:rsid w:val="00A84855"/>
    <w:rsid w:val="00A8593D"/>
    <w:rsid w:val="00A87581"/>
    <w:rsid w:val="00AB77F4"/>
    <w:rsid w:val="00B026DA"/>
    <w:rsid w:val="00B515B8"/>
    <w:rsid w:val="00B75D2C"/>
    <w:rsid w:val="00BC6334"/>
    <w:rsid w:val="00BE2B61"/>
    <w:rsid w:val="00BE7976"/>
    <w:rsid w:val="00C507B9"/>
    <w:rsid w:val="00C71BD2"/>
    <w:rsid w:val="00C72500"/>
    <w:rsid w:val="00CF3EAA"/>
    <w:rsid w:val="00D1649A"/>
    <w:rsid w:val="00D464EA"/>
    <w:rsid w:val="00D648C7"/>
    <w:rsid w:val="00D65684"/>
    <w:rsid w:val="00DB1CAE"/>
    <w:rsid w:val="00DC299E"/>
    <w:rsid w:val="00DC72B6"/>
    <w:rsid w:val="00DC7D6A"/>
    <w:rsid w:val="00E37FF8"/>
    <w:rsid w:val="00E41593"/>
    <w:rsid w:val="00EB4B63"/>
    <w:rsid w:val="00EE239B"/>
    <w:rsid w:val="00F336DA"/>
    <w:rsid w:val="00F84CFB"/>
    <w:rsid w:val="00FC263F"/>
    <w:rsid w:val="00FC496E"/>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7F92FC0"/>
  <w15:chartTrackingRefBased/>
  <w15:docId w15:val="{0662D9A1-EFD0-438A-A225-02EB21EB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63"/>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4B63"/>
  </w:style>
  <w:style w:type="character" w:customStyle="1" w:styleId="FootnoteTextChar">
    <w:name w:val="Footnote Text Char"/>
    <w:basedOn w:val="DefaultParagraphFont"/>
    <w:link w:val="FootnoteText"/>
    <w:semiHidden/>
    <w:rsid w:val="00EB4B63"/>
    <w:rPr>
      <w:rFonts w:eastAsia="Times New Roman"/>
    </w:rPr>
  </w:style>
  <w:style w:type="character" w:styleId="FootnoteReference">
    <w:name w:val="footnote reference"/>
    <w:basedOn w:val="DefaultParagraphFont"/>
    <w:semiHidden/>
    <w:rsid w:val="00EB4B63"/>
    <w:rPr>
      <w:vertAlign w:val="superscript"/>
    </w:rPr>
  </w:style>
  <w:style w:type="character" w:customStyle="1" w:styleId="footnoteref">
    <w:name w:val="footnote ref"/>
    <w:rsid w:val="00EB4B63"/>
  </w:style>
  <w:style w:type="paragraph" w:styleId="EndnoteText">
    <w:name w:val="endnote text"/>
    <w:basedOn w:val="Normal"/>
    <w:link w:val="EndnoteTextChar"/>
    <w:rsid w:val="00EB4B63"/>
  </w:style>
  <w:style w:type="character" w:customStyle="1" w:styleId="EndnoteTextChar">
    <w:name w:val="Endnote Text Char"/>
    <w:basedOn w:val="DefaultParagraphFont"/>
    <w:link w:val="EndnoteText"/>
    <w:rsid w:val="00EB4B63"/>
    <w:rPr>
      <w:rFonts w:eastAsia="Times New Roman"/>
    </w:rPr>
  </w:style>
  <w:style w:type="character" w:styleId="EndnoteReference">
    <w:name w:val="endnote reference"/>
    <w:basedOn w:val="DefaultParagraphFont"/>
    <w:rsid w:val="00EB4B63"/>
    <w:rPr>
      <w:vertAlign w:val="superscript"/>
    </w:rPr>
  </w:style>
  <w:style w:type="paragraph" w:styleId="Header">
    <w:name w:val="header"/>
    <w:basedOn w:val="Normal"/>
    <w:link w:val="HeaderChar"/>
    <w:rsid w:val="00EB4B63"/>
    <w:pPr>
      <w:tabs>
        <w:tab w:val="center" w:pos="4680"/>
        <w:tab w:val="right" w:pos="9360"/>
      </w:tabs>
    </w:pPr>
  </w:style>
  <w:style w:type="character" w:customStyle="1" w:styleId="HeaderChar">
    <w:name w:val="Header Char"/>
    <w:basedOn w:val="DefaultParagraphFont"/>
    <w:link w:val="Header"/>
    <w:rsid w:val="00EB4B63"/>
    <w:rPr>
      <w:rFonts w:eastAsia="Times New Roman"/>
    </w:rPr>
  </w:style>
  <w:style w:type="paragraph" w:styleId="Footer">
    <w:name w:val="footer"/>
    <w:basedOn w:val="Normal"/>
    <w:link w:val="FooterChar"/>
    <w:uiPriority w:val="99"/>
    <w:rsid w:val="00EB4B63"/>
    <w:pPr>
      <w:tabs>
        <w:tab w:val="center" w:pos="4680"/>
        <w:tab w:val="right" w:pos="9360"/>
      </w:tabs>
    </w:pPr>
  </w:style>
  <w:style w:type="character" w:customStyle="1" w:styleId="FooterChar">
    <w:name w:val="Footer Char"/>
    <w:basedOn w:val="DefaultParagraphFont"/>
    <w:link w:val="Footer"/>
    <w:uiPriority w:val="99"/>
    <w:rsid w:val="00EB4B63"/>
    <w:rPr>
      <w:rFonts w:eastAsia="Times New Roman"/>
    </w:rPr>
  </w:style>
  <w:style w:type="paragraph" w:styleId="ListParagraph">
    <w:name w:val="List Paragraph"/>
    <w:basedOn w:val="Normal"/>
    <w:uiPriority w:val="34"/>
    <w:qFormat/>
    <w:rsid w:val="00EB4B63"/>
    <w:pPr>
      <w:ind w:left="720"/>
      <w:contextualSpacing/>
    </w:pPr>
  </w:style>
  <w:style w:type="character" w:styleId="Hyperlink">
    <w:name w:val="Hyperlink"/>
    <w:basedOn w:val="DefaultParagraphFont"/>
    <w:uiPriority w:val="99"/>
    <w:unhideWhenUsed/>
    <w:rsid w:val="00EB4B63"/>
    <w:rPr>
      <w:color w:val="0000FF"/>
      <w:u w:val="single"/>
    </w:rPr>
  </w:style>
  <w:style w:type="character" w:styleId="CommentReference">
    <w:name w:val="annotation reference"/>
    <w:basedOn w:val="DefaultParagraphFont"/>
    <w:rsid w:val="00EB4B63"/>
    <w:rPr>
      <w:sz w:val="16"/>
      <w:szCs w:val="16"/>
    </w:rPr>
  </w:style>
  <w:style w:type="paragraph" w:styleId="CommentText">
    <w:name w:val="annotation text"/>
    <w:basedOn w:val="Normal"/>
    <w:link w:val="CommentTextChar"/>
    <w:rsid w:val="00EB4B63"/>
  </w:style>
  <w:style w:type="character" w:customStyle="1" w:styleId="CommentTextChar">
    <w:name w:val="Comment Text Char"/>
    <w:basedOn w:val="DefaultParagraphFont"/>
    <w:link w:val="CommentText"/>
    <w:rsid w:val="00EB4B63"/>
    <w:rPr>
      <w:rFonts w:eastAsia="Times New Roman"/>
    </w:rPr>
  </w:style>
  <w:style w:type="paragraph" w:customStyle="1" w:styleId="Default">
    <w:name w:val="Default"/>
    <w:rsid w:val="00EB4B6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4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B63"/>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732B5"/>
    <w:rPr>
      <w:color w:val="800080" w:themeColor="followedHyperlink"/>
      <w:u w:val="single"/>
    </w:rPr>
  </w:style>
  <w:style w:type="character" w:customStyle="1" w:styleId="c-doc-para-italic2">
    <w:name w:val="c-doc-para-italic2"/>
    <w:basedOn w:val="DefaultParagraphFont"/>
    <w:rsid w:val="006470EC"/>
  </w:style>
  <w:style w:type="paragraph" w:styleId="CommentSubject">
    <w:name w:val="annotation subject"/>
    <w:basedOn w:val="CommentText"/>
    <w:next w:val="CommentText"/>
    <w:link w:val="CommentSubjectChar"/>
    <w:uiPriority w:val="99"/>
    <w:semiHidden/>
    <w:unhideWhenUsed/>
    <w:rsid w:val="00A87581"/>
    <w:rPr>
      <w:b/>
      <w:bCs/>
    </w:rPr>
  </w:style>
  <w:style w:type="character" w:customStyle="1" w:styleId="CommentSubjectChar">
    <w:name w:val="Comment Subject Char"/>
    <w:basedOn w:val="CommentTextChar"/>
    <w:link w:val="CommentSubject"/>
    <w:uiPriority w:val="99"/>
    <w:semiHidden/>
    <w:rsid w:val="00A87581"/>
    <w:rPr>
      <w:rFonts w:eastAsia="Times New Roman"/>
      <w:b/>
      <w:bCs/>
    </w:rPr>
  </w:style>
  <w:style w:type="character" w:customStyle="1" w:styleId="c-doc-para-italic">
    <w:name w:val="c-doc-para-italic"/>
    <w:basedOn w:val="DefaultParagraphFont"/>
    <w:rsid w:val="00954573"/>
  </w:style>
  <w:style w:type="paragraph" w:styleId="Revision">
    <w:name w:val="Revision"/>
    <w:hidden/>
    <w:uiPriority w:val="99"/>
    <w:semiHidden/>
    <w:rsid w:val="00D65684"/>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hioauditor.gov/ocs/2021/Instruction%20on%20how%20to%20Fill%20in%20Entity%20Specific%20Parameters%20within%20Wor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ocs/2021/Instruction%20on%20how%20to%20Fill%20in%20Entity%20Specific%20Parameters%20within%20Word.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2022-06-07T09:35:02Z</Ad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17" ma:contentTypeDescription="Create a new document." ma:contentTypeScope="" ma:versionID="7b4c79a38892b1da4cab79c55fbc22a4">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28c42eba66590d81a0bd7a1151ba00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6ECAA-898C-4B6C-8BF3-2C599762FDC8}">
  <ds:schemaRefs>
    <ds:schemaRef ds:uri="http://schemas.microsoft.com/office/infopath/2007/PartnerControls"/>
    <ds:schemaRef ds:uri="368cc7de-4582-4402-8653-1f6c5fcb982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e4091d6-ac26-408d-9936-3b28227d19d9"/>
    <ds:schemaRef ds:uri="http://www.w3.org/XML/1998/namespace"/>
    <ds:schemaRef ds:uri="http://purl.org/dc/dcmitype/"/>
    <ds:schemaRef ds:uri="0d5817e3-b880-408f-991f-e458db71995f"/>
  </ds:schemaRefs>
</ds:datastoreItem>
</file>

<file path=customXml/itemProps2.xml><?xml version="1.0" encoding="utf-8"?>
<ds:datastoreItem xmlns:ds="http://schemas.openxmlformats.org/officeDocument/2006/customXml" ds:itemID="{54FB78D5-D1F4-41A8-A748-06040BE0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9109D-E1B2-40E3-B857-B72A13DA7DD1}">
  <ds:schemaRefs>
    <ds:schemaRef ds:uri="http://schemas.openxmlformats.org/officeDocument/2006/bibliography"/>
  </ds:schemaRefs>
</ds:datastoreItem>
</file>

<file path=customXml/itemProps4.xml><?xml version="1.0" encoding="utf-8"?>
<ds:datastoreItem xmlns:ds="http://schemas.openxmlformats.org/officeDocument/2006/customXml" ds:itemID="{A153D30A-4203-4B61-8EA8-6FB2EF48F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Gray</dc:creator>
  <cp:keywords/>
  <dc:description/>
  <cp:lastModifiedBy>Richard L. Cunningham</cp:lastModifiedBy>
  <cp:revision>7</cp:revision>
  <dcterms:created xsi:type="dcterms:W3CDTF">2022-12-30T13:24:00Z</dcterms:created>
  <dcterms:modified xsi:type="dcterms:W3CDTF">2023-06-26T17:36:00Z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