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87" w:rsidRPr="00F549B2" w:rsidRDefault="009E1887" w:rsidP="006510EA">
      <w:pPr>
        <w:tabs>
          <w:tab w:val="left" w:pos="0"/>
          <w:tab w:val="left" w:pos="547"/>
          <w:tab w:val="left" w:pos="936"/>
          <w:tab w:val="left" w:pos="1440"/>
          <w:tab w:val="left" w:pos="1987"/>
        </w:tabs>
        <w:ind w:firstLine="720"/>
        <w:rPr>
          <w:b/>
          <w:bCs/>
          <w:szCs w:val="20"/>
        </w:rPr>
      </w:pPr>
    </w:p>
    <w:p w:rsidR="00660547" w:rsidRDefault="00660547" w:rsidP="006510EA">
      <w:pPr>
        <w:tabs>
          <w:tab w:val="left" w:pos="0"/>
          <w:tab w:val="left" w:pos="547"/>
          <w:tab w:val="left" w:pos="936"/>
          <w:tab w:val="left" w:pos="1440"/>
          <w:tab w:val="left" w:pos="1987"/>
        </w:tabs>
        <w:jc w:val="center"/>
        <w:rPr>
          <w:b/>
          <w:bCs/>
          <w:sz w:val="28"/>
        </w:rPr>
      </w:pPr>
      <w:r>
        <w:rPr>
          <w:b/>
          <w:bCs/>
          <w:color w:val="FF0000"/>
          <w:sz w:val="36"/>
          <w:szCs w:val="36"/>
        </w:rPr>
        <w:t>IPA RESOURCES</w:t>
      </w:r>
    </w:p>
    <w:p w:rsidR="00660547" w:rsidRDefault="00660547" w:rsidP="006510EA">
      <w:pPr>
        <w:tabs>
          <w:tab w:val="left" w:pos="0"/>
          <w:tab w:val="left" w:pos="547"/>
          <w:tab w:val="left" w:pos="936"/>
          <w:tab w:val="left" w:pos="1440"/>
          <w:tab w:val="left" w:pos="1987"/>
        </w:tabs>
        <w:jc w:val="center"/>
        <w:rPr>
          <w:b/>
          <w:bCs/>
          <w:sz w:val="28"/>
        </w:rPr>
      </w:pPr>
    </w:p>
    <w:p w:rsidR="009E1887" w:rsidRPr="00F549B2" w:rsidRDefault="00A1219E" w:rsidP="006510EA">
      <w:pPr>
        <w:tabs>
          <w:tab w:val="left" w:pos="0"/>
          <w:tab w:val="left" w:pos="547"/>
          <w:tab w:val="left" w:pos="936"/>
          <w:tab w:val="left" w:pos="1440"/>
          <w:tab w:val="left" w:pos="1987"/>
        </w:tabs>
        <w:jc w:val="center"/>
        <w:rPr>
          <w:b/>
          <w:bCs/>
          <w:sz w:val="28"/>
        </w:rPr>
      </w:pPr>
      <w:proofErr w:type="spellStart"/>
      <w:r>
        <w:rPr>
          <w:b/>
          <w:bCs/>
          <w:sz w:val="28"/>
        </w:rPr>
        <w:t>AOS</w:t>
      </w:r>
      <w:proofErr w:type="spellEnd"/>
      <w:r>
        <w:rPr>
          <w:b/>
          <w:bCs/>
          <w:sz w:val="28"/>
        </w:rPr>
        <w:t xml:space="preserve"> </w:t>
      </w:r>
      <w:r w:rsidR="009C625F">
        <w:rPr>
          <w:b/>
          <w:bCs/>
          <w:sz w:val="28"/>
        </w:rPr>
        <w:t xml:space="preserve">Regulatory </w:t>
      </w:r>
      <w:r>
        <w:rPr>
          <w:b/>
          <w:bCs/>
          <w:sz w:val="28"/>
        </w:rPr>
        <w:t>Basis</w:t>
      </w:r>
      <w:r w:rsidR="008246D0">
        <w:rPr>
          <w:b/>
          <w:bCs/>
          <w:sz w:val="28"/>
        </w:rPr>
        <w:t xml:space="preserve"> </w:t>
      </w:r>
      <w:r w:rsidR="00C656C0">
        <w:rPr>
          <w:b/>
          <w:bCs/>
          <w:sz w:val="28"/>
        </w:rPr>
        <w:t>(i.e., non-</w:t>
      </w:r>
      <w:r w:rsidR="00FF03B5">
        <w:rPr>
          <w:b/>
          <w:bCs/>
          <w:sz w:val="28"/>
        </w:rPr>
        <w:t>OCBOA</w:t>
      </w:r>
      <w:r>
        <w:rPr>
          <w:b/>
          <w:bCs/>
          <w:sz w:val="28"/>
        </w:rPr>
        <w:t xml:space="preserve">) </w:t>
      </w:r>
      <w:r w:rsidR="001C096E" w:rsidRPr="00F549B2">
        <w:rPr>
          <w:b/>
          <w:bCs/>
          <w:sz w:val="28"/>
        </w:rPr>
        <w:t>&amp; OCBOA Opinion examples</w:t>
      </w:r>
      <w:r w:rsidR="00BE6681" w:rsidRPr="00F549B2">
        <w:rPr>
          <w:b/>
          <w:bCs/>
          <w:sz w:val="28"/>
        </w:rPr>
        <w:t xml:space="preserve"> </w:t>
      </w:r>
    </w:p>
    <w:p w:rsidR="009E1887" w:rsidRPr="00F549B2" w:rsidRDefault="009E1887" w:rsidP="006510EA">
      <w:pPr>
        <w:widowControl/>
        <w:tabs>
          <w:tab w:val="left" w:pos="0"/>
          <w:tab w:val="left" w:pos="547"/>
          <w:tab w:val="left" w:pos="936"/>
          <w:tab w:val="left" w:pos="1440"/>
          <w:tab w:val="left" w:pos="1987"/>
        </w:tabs>
        <w:jc w:val="both"/>
        <w:rPr>
          <w:color w:val="000000"/>
          <w:szCs w:val="20"/>
        </w:rPr>
      </w:pPr>
    </w:p>
    <w:p w:rsidR="002056BD" w:rsidRDefault="00197183" w:rsidP="00197183">
      <w:pPr>
        <w:rPr>
          <w:b/>
          <w:bCs/>
          <w:color w:val="1F497D" w:themeColor="text2"/>
        </w:rPr>
      </w:pPr>
      <w:r w:rsidRPr="00197183">
        <w:rPr>
          <w:b/>
          <w:i/>
          <w:color w:val="1F497D" w:themeColor="text2"/>
          <w:sz w:val="28"/>
        </w:rPr>
        <w:t xml:space="preserve">Revised </w:t>
      </w:r>
      <w:r w:rsidR="00F127AE">
        <w:rPr>
          <w:b/>
          <w:i/>
          <w:color w:val="1F497D" w:themeColor="text2"/>
          <w:sz w:val="28"/>
        </w:rPr>
        <w:t>January 2012</w:t>
      </w:r>
      <w:r w:rsidR="002056BD">
        <w:rPr>
          <w:b/>
          <w:i/>
          <w:color w:val="1F497D" w:themeColor="text2"/>
          <w:sz w:val="28"/>
        </w:rPr>
        <w:t xml:space="preserve"> to</w:t>
      </w:r>
      <w:r w:rsidRPr="00197183">
        <w:rPr>
          <w:b/>
          <w:bCs/>
          <w:color w:val="1F497D" w:themeColor="text2"/>
          <w:sz w:val="28"/>
        </w:rPr>
        <w:t>:</w:t>
      </w:r>
      <w:r w:rsidRPr="00197183">
        <w:rPr>
          <w:b/>
          <w:bCs/>
          <w:color w:val="1F497D" w:themeColor="text2"/>
        </w:rPr>
        <w:t xml:space="preserve">  </w:t>
      </w:r>
    </w:p>
    <w:p w:rsidR="00197183" w:rsidRPr="002056BD" w:rsidRDefault="002056BD" w:rsidP="002056BD">
      <w:pPr>
        <w:pStyle w:val="ListParagraph"/>
        <w:numPr>
          <w:ilvl w:val="0"/>
          <w:numId w:val="10"/>
        </w:numPr>
        <w:rPr>
          <w:b/>
          <w:color w:val="7030A0"/>
        </w:rPr>
      </w:pPr>
      <w:r>
        <w:rPr>
          <w:b/>
          <w:bCs/>
          <w:color w:val="1F497D" w:themeColor="text2"/>
        </w:rPr>
        <w:t>C</w:t>
      </w:r>
      <w:r w:rsidR="00197183" w:rsidRPr="00197183">
        <w:t xml:space="preserve">onform with the 2011 AICPA Audit and Accounting Guide, </w:t>
      </w:r>
      <w:r w:rsidR="00197183" w:rsidRPr="002056BD">
        <w:rPr>
          <w:i/>
        </w:rPr>
        <w:t>State and Local Governments</w:t>
      </w:r>
      <w:r w:rsidR="00197183" w:rsidRPr="00197183">
        <w:t xml:space="preserve"> (SLG Guide), </w:t>
      </w:r>
      <w:r w:rsidR="00197183" w:rsidRPr="002056BD">
        <w:rPr>
          <w:b/>
          <w:color w:val="7030A0"/>
        </w:rPr>
        <w:t xml:space="preserve">regarding RSI.   We encourage OCBOA preparers to include RSI (such as MD&amp;A).  </w:t>
      </w:r>
      <w:r w:rsidR="00197183" w:rsidRPr="002056BD">
        <w:rPr>
          <w:b/>
          <w:i/>
          <w:color w:val="7030A0"/>
          <w:sz w:val="22"/>
          <w:szCs w:val="22"/>
        </w:rPr>
        <w:t>However</w:t>
      </w:r>
      <w:r w:rsidR="00197183" w:rsidRPr="002056BD">
        <w:rPr>
          <w:b/>
          <w:color w:val="7030A0"/>
        </w:rPr>
        <w:t xml:space="preserve">, </w:t>
      </w:r>
      <w:r w:rsidR="006E7FE0" w:rsidRPr="002056BD">
        <w:rPr>
          <w:b/>
          <w:color w:val="7030A0"/>
          <w:u w:val="single"/>
        </w:rPr>
        <w:t>OCBOA statements can</w:t>
      </w:r>
      <w:r w:rsidR="0046198C" w:rsidRPr="002056BD">
        <w:rPr>
          <w:b/>
          <w:color w:val="7030A0"/>
          <w:u w:val="single"/>
        </w:rPr>
        <w:t xml:space="preserve"> no longer</w:t>
      </w:r>
      <w:r w:rsidR="006E7FE0" w:rsidRPr="002056BD">
        <w:rPr>
          <w:b/>
          <w:color w:val="7030A0"/>
          <w:u w:val="single"/>
        </w:rPr>
        <w:t xml:space="preserve"> classify information as </w:t>
      </w:r>
      <w:r w:rsidR="00197183" w:rsidRPr="002056BD">
        <w:rPr>
          <w:b/>
          <w:color w:val="7030A0"/>
          <w:u w:val="single"/>
        </w:rPr>
        <w:t>RSI</w:t>
      </w:r>
      <w:r w:rsidR="0046198C" w:rsidRPr="002056BD">
        <w:rPr>
          <w:b/>
          <w:color w:val="7030A0"/>
        </w:rPr>
        <w:t>.  Therefore, w</w:t>
      </w:r>
      <w:r w:rsidR="006E7FE0" w:rsidRPr="002056BD">
        <w:rPr>
          <w:b/>
          <w:color w:val="7030A0"/>
        </w:rPr>
        <w:t>e have modified the</w:t>
      </w:r>
      <w:r w:rsidR="00B756DE" w:rsidRPr="002056BD">
        <w:rPr>
          <w:b/>
          <w:color w:val="7030A0"/>
        </w:rPr>
        <w:t xml:space="preserve"> OCBOA</w:t>
      </w:r>
      <w:r w:rsidR="006E7FE0" w:rsidRPr="002056BD">
        <w:rPr>
          <w:b/>
          <w:color w:val="7030A0"/>
        </w:rPr>
        <w:t xml:space="preserve"> ‘in-relation-to” paragraph to conform with AU 55</w:t>
      </w:r>
      <w:r w:rsidR="00740C32" w:rsidRPr="002056BD">
        <w:rPr>
          <w:b/>
          <w:color w:val="7030A0"/>
        </w:rPr>
        <w:t>0 (Other information) and AU 551 (Supplementary information)</w:t>
      </w:r>
      <w:r w:rsidR="006E7FE0" w:rsidRPr="002056BD">
        <w:rPr>
          <w:b/>
          <w:color w:val="7030A0"/>
        </w:rPr>
        <w:t>.</w:t>
      </w:r>
      <w:r w:rsidR="00197183" w:rsidRPr="002056BD">
        <w:rPr>
          <w:b/>
          <w:color w:val="7030A0"/>
        </w:rPr>
        <w:t xml:space="preserve"> </w:t>
      </w:r>
    </w:p>
    <w:p w:rsidR="00197183" w:rsidRPr="00197183" w:rsidRDefault="00197183" w:rsidP="00197183"/>
    <w:p w:rsidR="00197183" w:rsidRPr="002056BD" w:rsidRDefault="002056BD" w:rsidP="002056BD">
      <w:pPr>
        <w:pStyle w:val="ListParagraph"/>
        <w:numPr>
          <w:ilvl w:val="0"/>
          <w:numId w:val="10"/>
        </w:numPr>
        <w:rPr>
          <w:color w:val="000000"/>
        </w:rPr>
      </w:pPr>
      <w:r>
        <w:t>Add E</w:t>
      </w:r>
      <w:r w:rsidR="00197183" w:rsidRPr="00197183">
        <w:t>ndnote 5 to provide a</w:t>
      </w:r>
      <w:r w:rsidR="00A75170">
        <w:t xml:space="preserve"> scope limitation </w:t>
      </w:r>
      <w:r>
        <w:t xml:space="preserve">opinion example.  </w:t>
      </w:r>
    </w:p>
    <w:p w:rsidR="002056BD" w:rsidRPr="002056BD" w:rsidRDefault="002056BD" w:rsidP="002056BD">
      <w:pPr>
        <w:pStyle w:val="ListParagraph"/>
        <w:rPr>
          <w:color w:val="000000"/>
        </w:rPr>
      </w:pPr>
    </w:p>
    <w:p w:rsidR="002056BD" w:rsidRPr="007A3EE5" w:rsidRDefault="002056BD" w:rsidP="002056BD">
      <w:pPr>
        <w:pStyle w:val="ListParagraph"/>
        <w:numPr>
          <w:ilvl w:val="0"/>
          <w:numId w:val="10"/>
        </w:numPr>
        <w:rPr>
          <w:color w:val="000000"/>
        </w:rPr>
      </w:pPr>
      <w:r w:rsidRPr="007A3EE5">
        <w:rPr>
          <w:color w:val="000000"/>
        </w:rPr>
        <w:t>Include GASB 54 guidance below and language in the opinion letters.</w:t>
      </w:r>
    </w:p>
    <w:p w:rsidR="002455FD" w:rsidRDefault="002455FD" w:rsidP="0047788C">
      <w:pPr>
        <w:widowControl/>
        <w:tabs>
          <w:tab w:val="left" w:pos="0"/>
          <w:tab w:val="left" w:pos="547"/>
          <w:tab w:val="left" w:pos="936"/>
          <w:tab w:val="left" w:pos="1440"/>
          <w:tab w:val="left" w:pos="1987"/>
        </w:tabs>
        <w:jc w:val="center"/>
        <w:rPr>
          <w:b/>
          <w:bCs/>
          <w:color w:val="000000"/>
          <w:szCs w:val="20"/>
        </w:rPr>
      </w:pPr>
    </w:p>
    <w:tbl>
      <w:tblPr>
        <w:tblStyle w:val="TableGrid"/>
        <w:tblW w:w="10890" w:type="dxa"/>
        <w:tblInd w:w="-522" w:type="dxa"/>
        <w:tblLook w:val="04A0"/>
      </w:tblPr>
      <w:tblGrid>
        <w:gridCol w:w="10890"/>
      </w:tblGrid>
      <w:tr w:rsidR="002455FD" w:rsidTr="002455FD">
        <w:tc>
          <w:tcPr>
            <w:tcW w:w="10890" w:type="dxa"/>
          </w:tcPr>
          <w:p w:rsidR="002455FD" w:rsidRDefault="002455FD" w:rsidP="002455FD">
            <w:pPr>
              <w:rPr>
                <w:b/>
                <w:bCs/>
                <w:color w:val="365F91"/>
              </w:rPr>
            </w:pPr>
            <w:r>
              <w:rPr>
                <w:b/>
                <w:bCs/>
                <w:color w:val="365F91"/>
              </w:rPr>
              <w:t xml:space="preserve">GASB Statement No. 54 </w:t>
            </w:r>
            <w:r>
              <w:rPr>
                <w:b/>
                <w:bCs/>
                <w:i/>
                <w:iCs/>
                <w:color w:val="365F91"/>
              </w:rPr>
              <w:t>Fund Balance Reporting and Governmental Fund Type Definitions</w:t>
            </w:r>
            <w:r>
              <w:rPr>
                <w:b/>
                <w:bCs/>
                <w:color w:val="365F91"/>
              </w:rPr>
              <w:t xml:space="preserve"> applies to financial statements for periods </w:t>
            </w:r>
            <w:r>
              <w:rPr>
                <w:b/>
                <w:bCs/>
                <w:color w:val="365F91"/>
                <w:u w:val="single"/>
              </w:rPr>
              <w:t>beginning</w:t>
            </w:r>
            <w:r>
              <w:rPr>
                <w:b/>
                <w:bCs/>
                <w:color w:val="365F91"/>
              </w:rPr>
              <w:t xml:space="preserve"> after June 15, 2010.  </w:t>
            </w:r>
          </w:p>
          <w:p w:rsidR="002455FD" w:rsidRDefault="002455FD" w:rsidP="002455FD">
            <w:pPr>
              <w:rPr>
                <w:b/>
                <w:bCs/>
                <w:color w:val="365F91"/>
              </w:rPr>
            </w:pPr>
          </w:p>
          <w:p w:rsidR="002455FD" w:rsidRDefault="002455FD" w:rsidP="002455FD">
            <w:pPr>
              <w:rPr>
                <w:b/>
                <w:bCs/>
                <w:color w:val="365F91"/>
              </w:rPr>
            </w:pPr>
            <w:r>
              <w:rPr>
                <w:b/>
                <w:bCs/>
                <w:color w:val="365F91"/>
              </w:rPr>
              <w:t>Auditor of State Bulletin 2011-004 includes lots of useful implementation guidance.</w:t>
            </w:r>
          </w:p>
          <w:p w:rsidR="002455FD" w:rsidRDefault="002455FD" w:rsidP="002455FD">
            <w:pPr>
              <w:rPr>
                <w:b/>
                <w:bCs/>
                <w:color w:val="365F91"/>
              </w:rPr>
            </w:pPr>
          </w:p>
          <w:p w:rsidR="002455FD" w:rsidRDefault="002455FD" w:rsidP="002455FD">
            <w:pPr>
              <w:rPr>
                <w:b/>
                <w:bCs/>
                <w:color w:val="365F91"/>
              </w:rPr>
            </w:pPr>
            <w:r>
              <w:rPr>
                <w:b/>
                <w:bCs/>
                <w:color w:val="365F91"/>
              </w:rPr>
              <w:t>The following clarifies the Bulletin’s implementation requirements:</w:t>
            </w:r>
          </w:p>
          <w:p w:rsidR="002455FD" w:rsidRDefault="002455FD" w:rsidP="002455FD">
            <w:pPr>
              <w:rPr>
                <w:b/>
                <w:bCs/>
                <w:color w:val="FF0000"/>
              </w:rPr>
            </w:pPr>
          </w:p>
          <w:p w:rsidR="002455FD" w:rsidRDefault="002455FD" w:rsidP="002455FD">
            <w:pPr>
              <w:pStyle w:val="ListParagraph"/>
              <w:numPr>
                <w:ilvl w:val="0"/>
                <w:numId w:val="9"/>
              </w:numPr>
              <w:contextualSpacing w:val="0"/>
              <w:rPr>
                <w:color w:val="1F497D"/>
              </w:rPr>
            </w:pPr>
            <w:r>
              <w:rPr>
                <w:color w:val="1F497D"/>
              </w:rPr>
              <w:t xml:space="preserve">Ohio governments should apply Statement 54 to their fiscal years </w:t>
            </w:r>
            <w:r>
              <w:rPr>
                <w:i/>
                <w:iCs/>
                <w:color w:val="1F497D"/>
                <w:u w:val="single"/>
              </w:rPr>
              <w:t>ending</w:t>
            </w:r>
            <w:r>
              <w:rPr>
                <w:color w:val="1F497D"/>
              </w:rPr>
              <w:t xml:space="preserve"> June 30 or December 31, 2011, and to subsequent years.</w:t>
            </w:r>
          </w:p>
          <w:p w:rsidR="002455FD" w:rsidRDefault="002455FD" w:rsidP="002455FD">
            <w:pPr>
              <w:pStyle w:val="ListParagraph"/>
              <w:rPr>
                <w:color w:val="1F497D"/>
              </w:rPr>
            </w:pPr>
          </w:p>
          <w:p w:rsidR="002455FD" w:rsidRDefault="002455FD" w:rsidP="002455FD">
            <w:pPr>
              <w:pStyle w:val="ListParagraph"/>
              <w:numPr>
                <w:ilvl w:val="0"/>
                <w:numId w:val="9"/>
              </w:numPr>
              <w:contextualSpacing w:val="0"/>
              <w:rPr>
                <w:color w:val="1F497D"/>
              </w:rPr>
            </w:pPr>
            <w:r>
              <w:rPr>
                <w:color w:val="1F497D"/>
              </w:rPr>
              <w:t>If GAAP or OCBOA presentations include prior year statements (e.g. a two-year audit for FYE December 31, 2011 and 2010), both year’s statements should apply GASB 54.</w:t>
            </w:r>
          </w:p>
          <w:p w:rsidR="002455FD" w:rsidRDefault="002455FD" w:rsidP="002455FD">
            <w:pPr>
              <w:pStyle w:val="ListParagraph"/>
              <w:numPr>
                <w:ilvl w:val="1"/>
                <w:numId w:val="9"/>
              </w:numPr>
              <w:contextualSpacing w:val="0"/>
              <w:rPr>
                <w:color w:val="1F497D"/>
              </w:rPr>
            </w:pPr>
            <w:r>
              <w:rPr>
                <w:color w:val="1F497D"/>
              </w:rPr>
              <w:t>This relates to both fund balance reporting and to fund type definitions.</w:t>
            </w:r>
          </w:p>
          <w:p w:rsidR="002455FD" w:rsidRDefault="002455FD" w:rsidP="002455FD">
            <w:pPr>
              <w:pStyle w:val="ListParagraph"/>
              <w:numPr>
                <w:ilvl w:val="1"/>
                <w:numId w:val="9"/>
              </w:numPr>
              <w:contextualSpacing w:val="0"/>
              <w:rPr>
                <w:color w:val="1F497D"/>
              </w:rPr>
            </w:pPr>
            <w:r>
              <w:rPr>
                <w:color w:val="1F497D"/>
              </w:rPr>
              <w:t>We should qualify opinions on two-year audits subject to Statement 54 that do not follow it in material respects for both years presented.</w:t>
            </w:r>
          </w:p>
          <w:p w:rsidR="002455FD" w:rsidRDefault="002455FD" w:rsidP="002455FD">
            <w:pPr>
              <w:pStyle w:val="ListParagraph"/>
              <w:numPr>
                <w:ilvl w:val="1"/>
                <w:numId w:val="9"/>
              </w:numPr>
              <w:contextualSpacing w:val="0"/>
              <w:rPr>
                <w:color w:val="1F497D"/>
              </w:rPr>
            </w:pPr>
            <w:r>
              <w:rPr>
                <w:color w:val="1F497D"/>
              </w:rPr>
              <w:t xml:space="preserve">GAAP and OCBOA governments subject to two-year audits can avoid reclassifying FY 2010 fund balances by issuing separate presentations for 2010 and 2011. </w:t>
            </w:r>
          </w:p>
          <w:p w:rsidR="002455FD" w:rsidRDefault="002455FD" w:rsidP="002455FD">
            <w:pPr>
              <w:pStyle w:val="ListParagraph"/>
              <w:numPr>
                <w:ilvl w:val="2"/>
                <w:numId w:val="9"/>
              </w:numPr>
              <w:contextualSpacing w:val="0"/>
              <w:rPr>
                <w:color w:val="1F497D"/>
              </w:rPr>
            </w:pPr>
            <w:r>
              <w:rPr>
                <w:color w:val="1F497D"/>
              </w:rPr>
              <w:t>This would require two sets of statements and notes, and two opinions (and probably two GAGAS reports).</w:t>
            </w:r>
          </w:p>
          <w:p w:rsidR="002455FD" w:rsidRPr="002455FD" w:rsidRDefault="002455FD" w:rsidP="002455FD">
            <w:pPr>
              <w:pStyle w:val="ListParagraph"/>
              <w:numPr>
                <w:ilvl w:val="2"/>
                <w:numId w:val="9"/>
              </w:numPr>
              <w:contextualSpacing w:val="0"/>
              <w:rPr>
                <w:color w:val="1F497D"/>
              </w:rPr>
            </w:pPr>
            <w:r w:rsidRPr="002455FD">
              <w:rPr>
                <w:color w:val="1F497D"/>
              </w:rPr>
              <w:t>GAAP governments issuing two reports should include an MD&amp;A for both years.</w:t>
            </w:r>
          </w:p>
          <w:p w:rsidR="002455FD" w:rsidRDefault="002455FD" w:rsidP="002455FD">
            <w:pPr>
              <w:pStyle w:val="ListParagraph"/>
              <w:numPr>
                <w:ilvl w:val="2"/>
                <w:numId w:val="9"/>
              </w:numPr>
              <w:contextualSpacing w:val="0"/>
              <w:rPr>
                <w:color w:val="1F497D"/>
              </w:rPr>
            </w:pPr>
            <w:r>
              <w:rPr>
                <w:color w:val="1F497D"/>
              </w:rPr>
              <w:t xml:space="preserve">Regarding OCBOA, the AICPA’s </w:t>
            </w:r>
            <w:r>
              <w:rPr>
                <w:i/>
                <w:iCs/>
                <w:color w:val="1F497D"/>
              </w:rPr>
              <w:t>State and Local Government Guide</w:t>
            </w:r>
            <w:r>
              <w:rPr>
                <w:color w:val="1F497D"/>
              </w:rPr>
              <w:t xml:space="preserve"> (SLG) 15.05 explains that RSI (i.e., MD&amp;A) is not technically “required” for OCBOA presentations.</w:t>
            </w:r>
          </w:p>
          <w:p w:rsidR="002455FD" w:rsidRDefault="002455FD" w:rsidP="002455FD">
            <w:pPr>
              <w:pStyle w:val="ListParagraph"/>
              <w:rPr>
                <w:color w:val="1F497D"/>
              </w:rPr>
            </w:pPr>
          </w:p>
          <w:p w:rsidR="002455FD" w:rsidRDefault="002455FD" w:rsidP="002455FD">
            <w:pPr>
              <w:pStyle w:val="ListParagraph"/>
              <w:numPr>
                <w:ilvl w:val="3"/>
                <w:numId w:val="9"/>
              </w:numPr>
              <w:contextualSpacing w:val="0"/>
              <w:rPr>
                <w:color w:val="1F497D"/>
              </w:rPr>
            </w:pPr>
            <w:r>
              <w:rPr>
                <w:color w:val="1F497D"/>
              </w:rPr>
              <w:t xml:space="preserve">SLG 15.05 “generally” deems MD&amp;A  / RSI as </w:t>
            </w:r>
            <w:r>
              <w:rPr>
                <w:b/>
                <w:bCs/>
                <w:i/>
                <w:iCs/>
                <w:color w:val="1F497D"/>
              </w:rPr>
              <w:t>other information</w:t>
            </w:r>
            <w:r>
              <w:rPr>
                <w:color w:val="1F497D"/>
              </w:rPr>
              <w:t>, subject to SAS 118.</w:t>
            </w:r>
          </w:p>
          <w:p w:rsidR="002455FD" w:rsidRDefault="002455FD" w:rsidP="002455FD">
            <w:pPr>
              <w:pStyle w:val="ListParagraph"/>
              <w:numPr>
                <w:ilvl w:val="3"/>
                <w:numId w:val="9"/>
              </w:numPr>
              <w:contextualSpacing w:val="0"/>
              <w:rPr>
                <w:color w:val="1F497D"/>
              </w:rPr>
            </w:pPr>
            <w:r>
              <w:rPr>
                <w:color w:val="1F497D"/>
              </w:rPr>
              <w:t>Nevertheless, AOS strongly encourages OCBOA filers to present MD&amp;A, at least to the most recent year of a two- year presentation.</w:t>
            </w:r>
          </w:p>
          <w:p w:rsidR="002455FD" w:rsidRDefault="002455FD" w:rsidP="002455FD">
            <w:pPr>
              <w:pStyle w:val="ListParagraph"/>
              <w:numPr>
                <w:ilvl w:val="3"/>
                <w:numId w:val="9"/>
              </w:numPr>
              <w:contextualSpacing w:val="0"/>
              <w:rPr>
                <w:color w:val="1F497D"/>
              </w:rPr>
            </w:pPr>
            <w:r>
              <w:rPr>
                <w:color w:val="1F497D"/>
              </w:rPr>
              <w:t>MD&amp;A includes valuable information of use to most readers.</w:t>
            </w:r>
          </w:p>
          <w:p w:rsidR="002455FD" w:rsidRDefault="002455FD" w:rsidP="002455FD">
            <w:pPr>
              <w:pStyle w:val="ListParagraph"/>
              <w:rPr>
                <w:color w:val="1F497D"/>
              </w:rPr>
            </w:pPr>
          </w:p>
          <w:p w:rsidR="002455FD" w:rsidRDefault="002455FD" w:rsidP="002455FD">
            <w:pPr>
              <w:pStyle w:val="ListParagraph"/>
              <w:numPr>
                <w:ilvl w:val="0"/>
                <w:numId w:val="9"/>
              </w:numPr>
              <w:contextualSpacing w:val="0"/>
              <w:rPr>
                <w:color w:val="1F497D"/>
              </w:rPr>
            </w:pPr>
            <w:r>
              <w:rPr>
                <w:color w:val="1F497D"/>
              </w:rPr>
              <w:t>AOS will not require regulatory basis presentations to revise statements presented for earlier periods.</w:t>
            </w:r>
          </w:p>
          <w:p w:rsidR="002455FD" w:rsidRDefault="002455FD" w:rsidP="002455FD">
            <w:pPr>
              <w:pStyle w:val="ListParagraph"/>
              <w:numPr>
                <w:ilvl w:val="1"/>
                <w:numId w:val="9"/>
              </w:numPr>
              <w:contextualSpacing w:val="0"/>
              <w:rPr>
                <w:color w:val="1F497D"/>
              </w:rPr>
            </w:pPr>
            <w:r>
              <w:rPr>
                <w:color w:val="1F497D"/>
              </w:rPr>
              <w:t xml:space="preserve">For example, a two-year audited presentation covering FYE 2011 and 2010 must apply Statement 54 to its 2011 statements, but may present the 2010 statements without applying 54.  </w:t>
            </w:r>
          </w:p>
          <w:p w:rsidR="002455FD" w:rsidRDefault="002455FD" w:rsidP="002455FD">
            <w:pPr>
              <w:pStyle w:val="ListParagraph"/>
              <w:numPr>
                <w:ilvl w:val="2"/>
                <w:numId w:val="9"/>
              </w:numPr>
              <w:contextualSpacing w:val="0"/>
              <w:rPr>
                <w:color w:val="1F497D"/>
              </w:rPr>
            </w:pPr>
            <w:r>
              <w:rPr>
                <w:color w:val="1F497D"/>
              </w:rPr>
              <w:t>So, separate presentations for 2010 and 2011 are not required, and one set of notes / opinion / GAGAS report suffices.</w:t>
            </w:r>
          </w:p>
          <w:p w:rsidR="002455FD" w:rsidRDefault="002455FD" w:rsidP="002455FD">
            <w:pPr>
              <w:pStyle w:val="ListParagraph"/>
              <w:numPr>
                <w:ilvl w:val="2"/>
                <w:numId w:val="9"/>
              </w:numPr>
              <w:contextualSpacing w:val="0"/>
              <w:rPr>
                <w:color w:val="1F497D"/>
              </w:rPr>
            </w:pPr>
            <w:r>
              <w:rPr>
                <w:color w:val="1F497D"/>
              </w:rPr>
              <w:t>AOS-basis entities must apply both the fund balance reporting and fund type definitions when they adopt Statement 54.</w:t>
            </w:r>
          </w:p>
          <w:p w:rsidR="002455FD" w:rsidRDefault="002455FD" w:rsidP="002455FD">
            <w:pPr>
              <w:pStyle w:val="ListParagraph"/>
              <w:numPr>
                <w:ilvl w:val="2"/>
                <w:numId w:val="9"/>
              </w:numPr>
              <w:contextualSpacing w:val="0"/>
              <w:rPr>
                <w:color w:val="1F497D"/>
              </w:rPr>
            </w:pPr>
            <w:r>
              <w:rPr>
                <w:color w:val="1F497D"/>
              </w:rPr>
              <w:t xml:space="preserve">Audit opinions would refer to the change effective in FYE 2011, but would not qualify (include “except for” language) for 2010 “pre 54” statements. </w:t>
            </w:r>
          </w:p>
          <w:p w:rsidR="002455FD" w:rsidRPr="002455FD" w:rsidRDefault="002455FD" w:rsidP="002455FD">
            <w:pPr>
              <w:pStyle w:val="ListParagraph"/>
              <w:numPr>
                <w:ilvl w:val="3"/>
                <w:numId w:val="9"/>
              </w:numPr>
              <w:tabs>
                <w:tab w:val="left" w:pos="0"/>
                <w:tab w:val="left" w:pos="547"/>
                <w:tab w:val="left" w:pos="936"/>
                <w:tab w:val="left" w:pos="1440"/>
                <w:tab w:val="left" w:pos="1987"/>
              </w:tabs>
              <w:contextualSpacing w:val="0"/>
              <w:rPr>
                <w:b/>
                <w:bCs/>
                <w:color w:val="000000"/>
              </w:rPr>
            </w:pPr>
            <w:r w:rsidRPr="002455FD">
              <w:rPr>
                <w:color w:val="1F497D"/>
              </w:rPr>
              <w:t>Applying Statement 54 to 2010 statements is certainly acceptable, and even preferable.  Opinions thereon would mention the change occurring during 2010.</w:t>
            </w:r>
          </w:p>
          <w:p w:rsidR="002455FD" w:rsidRDefault="002455FD" w:rsidP="0047788C">
            <w:pPr>
              <w:widowControl/>
              <w:tabs>
                <w:tab w:val="left" w:pos="0"/>
                <w:tab w:val="left" w:pos="547"/>
                <w:tab w:val="left" w:pos="936"/>
                <w:tab w:val="left" w:pos="1440"/>
                <w:tab w:val="left" w:pos="1987"/>
              </w:tabs>
              <w:jc w:val="center"/>
              <w:rPr>
                <w:b/>
                <w:bCs/>
                <w:color w:val="000000"/>
                <w:szCs w:val="20"/>
              </w:rPr>
            </w:pPr>
          </w:p>
        </w:tc>
      </w:tr>
    </w:tbl>
    <w:p w:rsidR="002455FD" w:rsidRDefault="002455FD" w:rsidP="0047788C">
      <w:pPr>
        <w:widowControl/>
        <w:tabs>
          <w:tab w:val="left" w:pos="0"/>
          <w:tab w:val="left" w:pos="547"/>
          <w:tab w:val="left" w:pos="936"/>
          <w:tab w:val="left" w:pos="1440"/>
          <w:tab w:val="left" w:pos="1987"/>
        </w:tabs>
        <w:jc w:val="center"/>
        <w:rPr>
          <w:b/>
          <w:bCs/>
          <w:color w:val="000000"/>
          <w:szCs w:val="20"/>
        </w:rPr>
        <w:sectPr w:rsidR="002455FD" w:rsidSect="00F549B2">
          <w:endnotePr>
            <w:numFmt w:val="decimal"/>
          </w:endnotePr>
          <w:pgSz w:w="12240" w:h="15840"/>
          <w:pgMar w:top="720" w:right="1440" w:bottom="1440" w:left="1440" w:header="720" w:footer="720" w:gutter="0"/>
          <w:cols w:space="720"/>
          <w:noEndnote/>
        </w:sectPr>
      </w:pPr>
    </w:p>
    <w:p w:rsidR="00C67832" w:rsidRDefault="00C67832" w:rsidP="00C67832">
      <w:pPr>
        <w:tabs>
          <w:tab w:val="left" w:pos="1155"/>
        </w:tabs>
        <w:rPr>
          <w:rFonts w:ascii="Times New Roman" w:hAnsi="Times New Roman"/>
          <w:sz w:val="24"/>
        </w:rPr>
      </w:pPr>
    </w:p>
    <w:p w:rsidR="009E1887" w:rsidRPr="00F549B2" w:rsidRDefault="00A36AFC" w:rsidP="008E1A6D">
      <w:pPr>
        <w:widowControl/>
        <w:tabs>
          <w:tab w:val="left" w:pos="0"/>
          <w:tab w:val="left" w:pos="547"/>
          <w:tab w:val="left" w:pos="936"/>
          <w:tab w:val="left" w:pos="1440"/>
          <w:tab w:val="left" w:pos="1987"/>
        </w:tabs>
        <w:jc w:val="center"/>
        <w:rPr>
          <w:color w:val="000000"/>
          <w:szCs w:val="20"/>
        </w:rPr>
      </w:pPr>
      <w:r w:rsidRPr="00863069">
        <w:rPr>
          <w:b/>
          <w:bCs/>
          <w:color w:val="FF0000"/>
          <w:szCs w:val="20"/>
        </w:rPr>
        <w:t>Dual (</w:t>
      </w:r>
      <w:r w:rsidR="00504F41" w:rsidRPr="00863069">
        <w:rPr>
          <w:b/>
          <w:bCs/>
          <w:color w:val="FF0000"/>
          <w:szCs w:val="20"/>
        </w:rPr>
        <w:t xml:space="preserve">“Adverse” / </w:t>
      </w:r>
      <w:r w:rsidR="009E1887" w:rsidRPr="00863069">
        <w:rPr>
          <w:b/>
          <w:bCs/>
          <w:color w:val="FF0000"/>
          <w:szCs w:val="20"/>
        </w:rPr>
        <w:t>Unqualified</w:t>
      </w:r>
      <w:r w:rsidRPr="00863069">
        <w:rPr>
          <w:b/>
          <w:bCs/>
          <w:color w:val="FF0000"/>
          <w:szCs w:val="20"/>
        </w:rPr>
        <w:t>)</w:t>
      </w:r>
      <w:r w:rsidR="009E1887" w:rsidRPr="00F549B2">
        <w:rPr>
          <w:b/>
          <w:bCs/>
          <w:color w:val="000000"/>
          <w:szCs w:val="20"/>
        </w:rPr>
        <w:t xml:space="preserve"> Opinion on Financial Statements Prepared in Accordance</w:t>
      </w:r>
    </w:p>
    <w:p w:rsidR="00D5459E" w:rsidRPr="00F549B2" w:rsidRDefault="009E1887" w:rsidP="008E1A6D">
      <w:pPr>
        <w:widowControl/>
        <w:tabs>
          <w:tab w:val="left" w:pos="0"/>
          <w:tab w:val="left" w:pos="547"/>
          <w:tab w:val="left" w:pos="936"/>
          <w:tab w:val="left" w:pos="1440"/>
          <w:tab w:val="left" w:pos="1987"/>
        </w:tabs>
        <w:jc w:val="center"/>
        <w:rPr>
          <w:color w:val="000000"/>
          <w:szCs w:val="20"/>
        </w:rPr>
      </w:pPr>
      <w:r w:rsidRPr="00F549B2">
        <w:rPr>
          <w:b/>
          <w:bCs/>
          <w:color w:val="000000"/>
          <w:szCs w:val="20"/>
        </w:rPr>
        <w:t xml:space="preserve">With </w:t>
      </w:r>
      <w:r w:rsidR="009B6BF8">
        <w:rPr>
          <w:b/>
          <w:bCs/>
          <w:color w:val="000000"/>
          <w:szCs w:val="20"/>
        </w:rPr>
        <w:t>the Auditor of State’s</w:t>
      </w:r>
      <w:r w:rsidR="00C5199E" w:rsidRPr="00F549B2">
        <w:rPr>
          <w:b/>
          <w:bCs/>
          <w:color w:val="000000"/>
          <w:szCs w:val="20"/>
        </w:rPr>
        <w:t xml:space="preserve"> Accounting</w:t>
      </w:r>
      <w:r w:rsidR="009B6BF8">
        <w:rPr>
          <w:b/>
          <w:bCs/>
          <w:color w:val="000000"/>
          <w:szCs w:val="20"/>
        </w:rPr>
        <w:t xml:space="preserve"> Basis</w:t>
      </w:r>
      <w:r w:rsidR="00D5459E" w:rsidRPr="00F549B2">
        <w:rPr>
          <w:rStyle w:val="EndnoteReference"/>
          <w:b/>
          <w:bCs/>
          <w:color w:val="000000"/>
          <w:szCs w:val="20"/>
        </w:rPr>
        <w:endnoteReference w:id="1"/>
      </w:r>
    </w:p>
    <w:p w:rsidR="00D5459E" w:rsidRPr="00F549B2" w:rsidRDefault="00D5459E" w:rsidP="006510EA">
      <w:pPr>
        <w:widowControl/>
        <w:tabs>
          <w:tab w:val="left" w:pos="0"/>
          <w:tab w:val="left" w:pos="547"/>
          <w:tab w:val="left" w:pos="936"/>
          <w:tab w:val="left" w:pos="1440"/>
          <w:tab w:val="left" w:pos="1987"/>
        </w:tabs>
        <w:jc w:val="both"/>
        <w:rPr>
          <w:color w:val="000000"/>
          <w:szCs w:val="20"/>
          <w:u w:val="single"/>
        </w:rPr>
      </w:pPr>
    </w:p>
    <w:p w:rsidR="00D5459E" w:rsidRPr="00751389" w:rsidRDefault="00D5459E" w:rsidP="00433866">
      <w:pPr>
        <w:widowControl/>
        <w:tabs>
          <w:tab w:val="left" w:pos="-1440"/>
          <w:tab w:val="left" w:pos="-720"/>
          <w:tab w:val="left" w:pos="0"/>
          <w:tab w:val="left" w:pos="720"/>
          <w:tab w:val="left" w:pos="1440"/>
          <w:tab w:val="left" w:pos="2160"/>
          <w:tab w:val="left" w:pos="2880"/>
          <w:tab w:val="left" w:pos="3600"/>
          <w:tab w:val="left" w:pos="4140"/>
        </w:tabs>
        <w:jc w:val="center"/>
        <w:rPr>
          <w:color w:val="000000"/>
          <w:szCs w:val="20"/>
        </w:rPr>
      </w:pPr>
      <w:r w:rsidRPr="00751389">
        <w:rPr>
          <w:b/>
          <w:bCs/>
          <w:color w:val="000000"/>
          <w:szCs w:val="20"/>
        </w:rPr>
        <w:t>INDEPENDENT ACCOUNTANTS’ REPORT</w:t>
      </w:r>
    </w:p>
    <w:p w:rsidR="00D5459E" w:rsidRPr="000E4E51" w:rsidRDefault="00D5459E" w:rsidP="00433866"/>
    <w:p w:rsidR="00D5459E" w:rsidRPr="000E4E51" w:rsidRDefault="00D5459E" w:rsidP="00433866"/>
    <w:p w:rsidR="00D5459E" w:rsidRPr="000E4E51" w:rsidRDefault="00D5459E" w:rsidP="00433866">
      <w:pPr>
        <w:tabs>
          <w:tab w:val="left" w:pos="0"/>
          <w:tab w:val="left" w:pos="547"/>
          <w:tab w:val="left" w:pos="907"/>
          <w:tab w:val="left" w:pos="1440"/>
          <w:tab w:val="left" w:pos="1987"/>
        </w:tabs>
      </w:pPr>
      <w:r w:rsidRPr="000E4E51">
        <w:t>[</w:t>
      </w:r>
      <w:r>
        <w:t>ENTITY NAME</w:t>
      </w:r>
      <w:r w:rsidRPr="000E4E51">
        <w:t>]</w:t>
      </w:r>
    </w:p>
    <w:p w:rsidR="00D5459E" w:rsidRPr="000E4E51" w:rsidRDefault="00D5459E" w:rsidP="00433866">
      <w:pPr>
        <w:tabs>
          <w:tab w:val="left" w:pos="0"/>
          <w:tab w:val="left" w:pos="547"/>
          <w:tab w:val="left" w:pos="907"/>
          <w:tab w:val="left" w:pos="1440"/>
          <w:tab w:val="left" w:pos="1987"/>
        </w:tabs>
      </w:pPr>
      <w:r w:rsidRPr="000E4E51">
        <w:t>[COUNTY NAME] County</w:t>
      </w:r>
    </w:p>
    <w:p w:rsidR="00D5459E" w:rsidRPr="000E4E51" w:rsidRDefault="00D5459E" w:rsidP="00433866">
      <w:pPr>
        <w:tabs>
          <w:tab w:val="left" w:pos="0"/>
          <w:tab w:val="left" w:pos="547"/>
          <w:tab w:val="left" w:pos="907"/>
          <w:tab w:val="left" w:pos="1440"/>
          <w:tab w:val="left" w:pos="1987"/>
        </w:tabs>
        <w:rPr>
          <w:i/>
          <w:iCs/>
          <w:highlight w:val="yellow"/>
        </w:rPr>
      </w:pPr>
      <w:r w:rsidRPr="000E4E51">
        <w:rPr>
          <w:highlight w:val="yellow"/>
        </w:rPr>
        <w:t xml:space="preserve">(Insert address - </w:t>
      </w:r>
    </w:p>
    <w:p w:rsidR="00D5459E" w:rsidRPr="000E4E51" w:rsidRDefault="00D5459E" w:rsidP="00433866">
      <w:pPr>
        <w:tabs>
          <w:tab w:val="left" w:pos="0"/>
          <w:tab w:val="left" w:pos="547"/>
          <w:tab w:val="left" w:pos="907"/>
          <w:tab w:val="left" w:pos="1440"/>
          <w:tab w:val="left" w:pos="1987"/>
        </w:tabs>
      </w:pPr>
      <w:r w:rsidRPr="000E4E51">
        <w:rPr>
          <w:i/>
          <w:iCs/>
          <w:highlight w:val="yellow"/>
        </w:rPr>
        <w:t>This is very important.  The Clerk of the Bureau needs an exact mailing address.)</w:t>
      </w:r>
    </w:p>
    <w:p w:rsidR="00D5459E" w:rsidRPr="000E4E51" w:rsidRDefault="00D5459E" w:rsidP="00433866">
      <w:pPr>
        <w:tabs>
          <w:tab w:val="left" w:pos="0"/>
          <w:tab w:val="left" w:pos="547"/>
          <w:tab w:val="left" w:pos="907"/>
          <w:tab w:val="left" w:pos="1440"/>
          <w:tab w:val="left" w:pos="1987"/>
        </w:tabs>
      </w:pPr>
    </w:p>
    <w:p w:rsidR="00D5459E" w:rsidRPr="00B85C22" w:rsidRDefault="00D5459E" w:rsidP="00433866">
      <w:pPr>
        <w:tabs>
          <w:tab w:val="left" w:pos="0"/>
          <w:tab w:val="left" w:pos="547"/>
          <w:tab w:val="left" w:pos="936"/>
          <w:tab w:val="left" w:pos="1440"/>
          <w:tab w:val="left" w:pos="1987"/>
        </w:tabs>
        <w:jc w:val="both"/>
        <w:rPr>
          <w:rStyle w:val="footnoteref"/>
          <w:szCs w:val="20"/>
        </w:rPr>
      </w:pPr>
      <w:r w:rsidRPr="00B85C22">
        <w:rPr>
          <w:rStyle w:val="footnoteref"/>
          <w:szCs w:val="20"/>
        </w:rPr>
        <w:t>To the [GOVERNING BODY]:</w:t>
      </w:r>
    </w:p>
    <w:p w:rsidR="00D5459E" w:rsidRPr="002E5AB4" w:rsidRDefault="00D5459E" w:rsidP="00433866">
      <w:pPr>
        <w:tabs>
          <w:tab w:val="left" w:pos="0"/>
          <w:tab w:val="left" w:pos="547"/>
          <w:tab w:val="left" w:pos="907"/>
          <w:tab w:val="left" w:pos="1440"/>
          <w:tab w:val="left" w:pos="1987"/>
        </w:tabs>
        <w:rPr>
          <w:szCs w:val="20"/>
        </w:rPr>
      </w:pPr>
    </w:p>
    <w:p w:rsidR="00D5459E" w:rsidRPr="00F549B2" w:rsidRDefault="00D5459E" w:rsidP="00433866">
      <w:pPr>
        <w:widowControl/>
        <w:tabs>
          <w:tab w:val="left" w:pos="0"/>
          <w:tab w:val="left" w:pos="547"/>
          <w:tab w:val="left" w:pos="936"/>
          <w:tab w:val="left" w:pos="1440"/>
          <w:tab w:val="left" w:pos="1987"/>
        </w:tabs>
        <w:jc w:val="both"/>
        <w:rPr>
          <w:color w:val="000000"/>
          <w:szCs w:val="20"/>
        </w:rPr>
      </w:pPr>
      <w:r w:rsidRPr="00F549B2">
        <w:rPr>
          <w:color w:val="000000"/>
          <w:szCs w:val="20"/>
        </w:rPr>
        <w:t>We have audited the accompanying financial statements of [ENTITY NAME], [COUNTY NAME] County</w:t>
      </w:r>
      <w:r w:rsidRPr="008E1A6D">
        <w:rPr>
          <w:rStyle w:val="EndnoteReference"/>
          <w:color w:val="000000"/>
          <w:szCs w:val="20"/>
        </w:rPr>
        <w:endnoteReference w:id="2"/>
      </w:r>
      <w:r w:rsidRPr="00F549B2">
        <w:rPr>
          <w:color w:val="000000"/>
          <w:szCs w:val="20"/>
        </w:rPr>
        <w:t>,</w:t>
      </w:r>
      <w:r w:rsidRPr="00F549B2">
        <w:rPr>
          <w:color w:val="000000"/>
          <w:szCs w:val="20"/>
          <w:vertAlign w:val="superscript"/>
        </w:rPr>
        <w:t xml:space="preserve"> </w:t>
      </w:r>
      <w:r w:rsidRPr="00F549B2">
        <w:rPr>
          <w:color w:val="000000"/>
          <w:szCs w:val="20"/>
        </w:rPr>
        <w:t xml:space="preserve">(the </w:t>
      </w:r>
      <w:r>
        <w:rPr>
          <w:color w:val="000000"/>
          <w:szCs w:val="20"/>
        </w:rPr>
        <w:t>Government</w:t>
      </w:r>
      <w:r w:rsidRPr="00F549B2">
        <w:rPr>
          <w:color w:val="000000"/>
          <w:szCs w:val="20"/>
        </w:rPr>
        <w:t>) as of and for the year</w:t>
      </w:r>
      <w:r>
        <w:rPr>
          <w:color w:val="000000"/>
          <w:szCs w:val="20"/>
        </w:rPr>
        <w:t>s</w:t>
      </w:r>
      <w:r w:rsidRPr="00F549B2">
        <w:rPr>
          <w:color w:val="000000"/>
          <w:szCs w:val="20"/>
        </w:rPr>
        <w:t xml:space="preserve"> ended </w:t>
      </w:r>
      <w:r>
        <w:rPr>
          <w:color w:val="000000"/>
          <w:szCs w:val="20"/>
        </w:rPr>
        <w:t xml:space="preserve">December 31, </w:t>
      </w:r>
      <w:r w:rsidR="00FA77CA">
        <w:rPr>
          <w:color w:val="000000"/>
          <w:szCs w:val="20"/>
        </w:rPr>
        <w:t>20EE</w:t>
      </w:r>
      <w:r>
        <w:rPr>
          <w:color w:val="000000"/>
          <w:szCs w:val="20"/>
        </w:rPr>
        <w:t xml:space="preserve"> and </w:t>
      </w:r>
      <w:r w:rsidR="00FA77CA">
        <w:rPr>
          <w:color w:val="000000"/>
          <w:szCs w:val="20"/>
        </w:rPr>
        <w:t>20BB</w:t>
      </w:r>
      <w:r w:rsidRPr="00F549B2">
        <w:rPr>
          <w:color w:val="000000"/>
          <w:szCs w:val="20"/>
        </w:rPr>
        <w:t xml:space="preserve">.  These financial statements are the responsibility of the </w:t>
      </w:r>
      <w:r>
        <w:rPr>
          <w:color w:val="000000"/>
          <w:szCs w:val="20"/>
        </w:rPr>
        <w:t>Government</w:t>
      </w:r>
      <w:r w:rsidRPr="00F549B2">
        <w:rPr>
          <w:color w:val="000000"/>
          <w:szCs w:val="20"/>
        </w:rPr>
        <w:t>’s management.  Our responsibility is to express an opinion on these financial statements based on our audit.</w:t>
      </w:r>
    </w:p>
    <w:p w:rsidR="00D5459E" w:rsidRPr="00F549B2" w:rsidRDefault="00D5459E" w:rsidP="00433866">
      <w:pPr>
        <w:widowControl/>
        <w:tabs>
          <w:tab w:val="left" w:pos="0"/>
          <w:tab w:val="left" w:pos="547"/>
          <w:tab w:val="left" w:pos="936"/>
          <w:tab w:val="left" w:pos="1440"/>
          <w:tab w:val="left" w:pos="1987"/>
        </w:tabs>
        <w:jc w:val="both"/>
        <w:rPr>
          <w:color w:val="000000"/>
          <w:szCs w:val="20"/>
        </w:rPr>
      </w:pPr>
    </w:p>
    <w:p w:rsidR="00D5459E" w:rsidRDefault="00D5459E" w:rsidP="00433866">
      <w:pPr>
        <w:widowControl/>
        <w:tabs>
          <w:tab w:val="left" w:pos="0"/>
          <w:tab w:val="left" w:pos="547"/>
          <w:tab w:val="left" w:pos="936"/>
          <w:tab w:val="left" w:pos="1440"/>
          <w:tab w:val="left" w:pos="1987"/>
        </w:tabs>
        <w:jc w:val="both"/>
        <w:rPr>
          <w:color w:val="000000"/>
          <w:szCs w:val="20"/>
        </w:rPr>
      </w:pPr>
      <w:r w:rsidRPr="00F549B2">
        <w:rPr>
          <w:color w:val="000000"/>
          <w:szCs w:val="20"/>
        </w:rPr>
        <w:t xml:space="preserve">We conducted our audit in accordance with auditing standards generally accepted in the </w:t>
      </w:r>
      <w:r>
        <w:rPr>
          <w:color w:val="000000"/>
          <w:szCs w:val="20"/>
        </w:rPr>
        <w:t>United States of America</w:t>
      </w:r>
      <w:r w:rsidRPr="00F549B2">
        <w:rPr>
          <w:color w:val="000000"/>
          <w:szCs w:val="20"/>
        </w:rPr>
        <w:t xml:space="preserve"> and the standards applicable to financial audits contained in </w:t>
      </w:r>
      <w:r>
        <w:rPr>
          <w:color w:val="000000"/>
          <w:szCs w:val="20"/>
        </w:rPr>
        <w:t xml:space="preserve">the Comptroller General of the United States’ </w:t>
      </w:r>
      <w:r w:rsidRPr="00F549B2">
        <w:rPr>
          <w:i/>
          <w:iCs/>
          <w:color w:val="000000"/>
          <w:szCs w:val="20"/>
        </w:rPr>
        <w:t>Government Auditing Standards</w:t>
      </w:r>
      <w:r w:rsidRPr="00F549B2">
        <w:rPr>
          <w:color w:val="000000"/>
          <w:szCs w:val="20"/>
        </w:rPr>
        <w:t>.  Those standards require that we plan and perform the audit to reasonably assure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w:t>
      </w:r>
      <w:r w:rsidRPr="00593E6E">
        <w:rPr>
          <w:color w:val="000000"/>
          <w:szCs w:val="20"/>
        </w:rPr>
        <w:t>.  We believe o</w:t>
      </w:r>
      <w:r w:rsidRPr="00F549B2">
        <w:rPr>
          <w:color w:val="000000"/>
          <w:szCs w:val="20"/>
        </w:rPr>
        <w:t>ur audit provides a reasonable basis for our opinion.</w:t>
      </w:r>
    </w:p>
    <w:p w:rsidR="00D5459E" w:rsidRPr="00DC199F" w:rsidRDefault="000925F1" w:rsidP="00433866">
      <w:pPr>
        <w:widowControl/>
        <w:tabs>
          <w:tab w:val="left" w:pos="0"/>
          <w:tab w:val="left" w:pos="547"/>
          <w:tab w:val="left" w:pos="936"/>
          <w:tab w:val="left" w:pos="1440"/>
          <w:tab w:val="left" w:pos="1987"/>
        </w:tabs>
        <w:jc w:val="both"/>
        <w:rPr>
          <w:b/>
          <w:color w:val="000000"/>
          <w:szCs w:val="20"/>
        </w:rPr>
      </w:pPr>
      <w:bookmarkStart w:id="0" w:name="_Ref306010856"/>
      <w:r w:rsidRPr="00DC199F">
        <w:rPr>
          <w:rStyle w:val="EndnoteReference"/>
          <w:b/>
          <w:color w:val="000000"/>
          <w:szCs w:val="20"/>
        </w:rPr>
        <w:endnoteReference w:id="3"/>
      </w:r>
      <w:bookmarkEnd w:id="0"/>
    </w:p>
    <w:p w:rsidR="00D5459E" w:rsidRDefault="00D5459E" w:rsidP="00433866">
      <w:pPr>
        <w:jc w:val="both"/>
      </w:pPr>
      <w:r w:rsidRPr="003144CB">
        <w:t xml:space="preserve">As described more fully in Note </w:t>
      </w:r>
      <w:r>
        <w:t>1</w:t>
      </w:r>
      <w:r w:rsidRPr="003144CB">
        <w:t xml:space="preserve">, </w:t>
      </w:r>
      <w:r>
        <w:t xml:space="preserve">the Government </w:t>
      </w:r>
      <w:r w:rsidRPr="003144CB">
        <w:t xml:space="preserve">has prepared these financial statements using accounting practices </w:t>
      </w:r>
      <w:r>
        <w:t xml:space="preserve">the Auditor of State </w:t>
      </w:r>
      <w:r w:rsidRPr="003144CB">
        <w:t>prescribe</w:t>
      </w:r>
      <w:r>
        <w:t>s</w:t>
      </w:r>
      <w:r w:rsidRPr="003144CB">
        <w:t xml:space="preserve"> or permit</w:t>
      </w:r>
      <w:r>
        <w:t>s.  These</w:t>
      </w:r>
      <w:r w:rsidRPr="003144CB">
        <w:t xml:space="preserve"> practice</w:t>
      </w:r>
      <w:r>
        <w:t>s</w:t>
      </w:r>
      <w:r w:rsidRPr="003144CB">
        <w:t xml:space="preserve"> differ from accounting principles generally accepted in the </w:t>
      </w:r>
      <w:r>
        <w:t>United States of America (GAAP)</w:t>
      </w:r>
      <w:r w:rsidRPr="003144CB">
        <w:t xml:space="preserve">.  </w:t>
      </w:r>
      <w:r>
        <w:t>Although we cannot reasonably determine t</w:t>
      </w:r>
      <w:r w:rsidRPr="003144CB">
        <w:t>he effects on the financial statements of the variances between these regulatory accounting practices and</w:t>
      </w:r>
      <w:r>
        <w:t xml:space="preserve"> GAAP</w:t>
      </w:r>
      <w:r w:rsidRPr="003144CB">
        <w:t xml:space="preserve">, </w:t>
      </w:r>
      <w:r>
        <w:t>we</w:t>
      </w:r>
      <w:r w:rsidRPr="003144CB">
        <w:t xml:space="preserve"> presume </w:t>
      </w:r>
      <w:r>
        <w:t>they are</w:t>
      </w:r>
      <w:r w:rsidRPr="003144CB">
        <w:t xml:space="preserve"> material. </w:t>
      </w:r>
    </w:p>
    <w:p w:rsidR="00D5459E" w:rsidRDefault="00D5459E" w:rsidP="00433866">
      <w:pPr>
        <w:jc w:val="both"/>
      </w:pPr>
    </w:p>
    <w:p w:rsidR="00D5459E" w:rsidRPr="003144CB" w:rsidRDefault="00D5459E" w:rsidP="00433866">
      <w:pPr>
        <w:jc w:val="both"/>
      </w:pPr>
      <w:r w:rsidRPr="003442B9">
        <w:t>Instead of the combined funds the accompanying financial statements present</w:t>
      </w:r>
      <w:r>
        <w:t>,</w:t>
      </w:r>
      <w:r w:rsidRPr="003442B9">
        <w:t xml:space="preserve"> </w:t>
      </w:r>
      <w:r>
        <w:t xml:space="preserve">GAAP </w:t>
      </w:r>
      <w:r w:rsidRPr="003442B9">
        <w:t>require presenting entity wide statements and also present</w:t>
      </w:r>
      <w:r>
        <w:t>ing</w:t>
      </w:r>
      <w:r w:rsidRPr="003442B9">
        <w:t xml:space="preserve"> </w:t>
      </w:r>
      <w:r>
        <w:t>the Government’s</w:t>
      </w:r>
      <w:r w:rsidRPr="003442B9">
        <w:t xml:space="preserve"> larger (i.e. major) funds separately.  While the </w:t>
      </w:r>
      <w:r>
        <w:t>Government</w:t>
      </w:r>
      <w:r w:rsidRPr="003442B9">
        <w:t xml:space="preserve"> does not follow GAAP, generally accepted auditing standards requires us to include the following paragraph if the statements do not substantially conform to GAAP presentation requirements.  The Auditor of State permits, but does not require </w:t>
      </w:r>
      <w:r>
        <w:t>Government</w:t>
      </w:r>
      <w:r w:rsidRPr="003442B9">
        <w:t xml:space="preserve">s to reformat their statements.  The </w:t>
      </w:r>
      <w:r>
        <w:t>Government</w:t>
      </w:r>
      <w:r w:rsidRPr="003442B9">
        <w:t xml:space="preserve"> has elected not to </w:t>
      </w:r>
      <w:r>
        <w:t xml:space="preserve">follow GAAP </w:t>
      </w:r>
      <w:r w:rsidRPr="003442B9">
        <w:t>statement</w:t>
      </w:r>
      <w:r>
        <w:t xml:space="preserve"> formatting requirements</w:t>
      </w:r>
      <w:r w:rsidRPr="003442B9">
        <w:t xml:space="preserve">.  </w:t>
      </w:r>
      <w:r>
        <w:t>T</w:t>
      </w:r>
      <w:r w:rsidRPr="003442B9">
        <w:t xml:space="preserve">he following paragraph does not imply the amounts reported are materially misstated under the accounting basis the Auditor of State permits.  Our opinion on the fair presentation of the amounts reported </w:t>
      </w:r>
      <w:r>
        <w:t xml:space="preserve">pursuant to its non-GAAP basis </w:t>
      </w:r>
      <w:r w:rsidRPr="003442B9">
        <w:t>is in the second following paragraph.</w:t>
      </w:r>
    </w:p>
    <w:p w:rsidR="00D5459E" w:rsidRPr="00CC7C39" w:rsidRDefault="00D5459E" w:rsidP="00433866">
      <w:pPr>
        <w:ind w:left="720"/>
        <w:jc w:val="both"/>
      </w:pPr>
    </w:p>
    <w:p w:rsidR="00D5459E" w:rsidRPr="003144CB" w:rsidRDefault="00D5459E" w:rsidP="00433866">
      <w:pPr>
        <w:jc w:val="both"/>
      </w:pPr>
      <w:r w:rsidRPr="003144CB">
        <w:t>In our opinion, because of the effects of the matter discussed in</w:t>
      </w:r>
      <w:r>
        <w:t xml:space="preserve"> the preceding </w:t>
      </w:r>
      <w:r w:rsidRPr="00186AC6">
        <w:t>two</w:t>
      </w:r>
      <w:r>
        <w:t xml:space="preserve"> paragraphs</w:t>
      </w:r>
      <w:r w:rsidRPr="003144CB">
        <w:t xml:space="preserve">, the financial statements referred to above </w:t>
      </w:r>
      <w:r>
        <w:t xml:space="preserve">for the years ended December 31, </w:t>
      </w:r>
      <w:r w:rsidR="00FA77CA">
        <w:t xml:space="preserve">20EE </w:t>
      </w:r>
      <w:r>
        <w:t xml:space="preserve">and </w:t>
      </w:r>
      <w:r w:rsidR="00FA77CA">
        <w:t>20BB</w:t>
      </w:r>
      <w:r>
        <w:t xml:space="preserve"> </w:t>
      </w:r>
      <w:r w:rsidRPr="003144CB">
        <w:t xml:space="preserve">do not present fairly, in conformity with accounting principles generally accepted in the </w:t>
      </w:r>
      <w:r>
        <w:t>United States of America</w:t>
      </w:r>
      <w:r w:rsidRPr="003144CB">
        <w:t xml:space="preserve">, the financial position of </w:t>
      </w:r>
      <w:r>
        <w:t xml:space="preserve">the Government as of </w:t>
      </w:r>
      <w:r>
        <w:rPr>
          <w:color w:val="000000"/>
          <w:szCs w:val="20"/>
        </w:rPr>
        <w:t>[FYE DATE],</w:t>
      </w:r>
      <w:r w:rsidRPr="00F549B2">
        <w:rPr>
          <w:color w:val="000000"/>
          <w:szCs w:val="20"/>
        </w:rPr>
        <w:t xml:space="preserve"> </w:t>
      </w:r>
      <w:r w:rsidRPr="003144CB">
        <w:t xml:space="preserve">or </w:t>
      </w:r>
      <w:r>
        <w:t xml:space="preserve">its </w:t>
      </w:r>
      <w:r w:rsidRPr="003144CB">
        <w:t xml:space="preserve">changes in financial position </w:t>
      </w:r>
      <w:r w:rsidRPr="00FB2C0F">
        <w:rPr>
          <w:b/>
          <w:color w:val="FF0000"/>
        </w:rPr>
        <w:t>or cash flows, where applicable</w:t>
      </w:r>
      <w:r>
        <w:t xml:space="preserve"> </w:t>
      </w:r>
      <w:r w:rsidRPr="00FB2C0F">
        <w:rPr>
          <w:b/>
        </w:rPr>
        <w:t>&lt;&lt; insert only if the statements include proprietary funds</w:t>
      </w:r>
      <w:r>
        <w:t xml:space="preserve"> </w:t>
      </w:r>
      <w:r w:rsidRPr="003144CB">
        <w:t>for the year</w:t>
      </w:r>
      <w:r>
        <w:t>s</w:t>
      </w:r>
      <w:r w:rsidRPr="003144CB">
        <w:t xml:space="preserve"> then ended.</w:t>
      </w:r>
    </w:p>
    <w:p w:rsidR="002455FD" w:rsidRDefault="002455FD" w:rsidP="00433866">
      <w:pPr>
        <w:widowControl/>
        <w:tabs>
          <w:tab w:val="left" w:pos="0"/>
          <w:tab w:val="left" w:pos="547"/>
          <w:tab w:val="left" w:pos="936"/>
          <w:tab w:val="left" w:pos="1440"/>
          <w:tab w:val="left" w:pos="1987"/>
        </w:tabs>
        <w:jc w:val="both"/>
        <w:rPr>
          <w:b/>
          <w:color w:val="FF0000"/>
          <w:szCs w:val="20"/>
        </w:rPr>
      </w:pPr>
    </w:p>
    <w:p w:rsidR="002455FD" w:rsidRPr="007A3EE5" w:rsidRDefault="002455FD" w:rsidP="00433866">
      <w:pPr>
        <w:widowControl/>
        <w:tabs>
          <w:tab w:val="left" w:pos="0"/>
          <w:tab w:val="left" w:pos="547"/>
          <w:tab w:val="left" w:pos="936"/>
          <w:tab w:val="left" w:pos="1440"/>
          <w:tab w:val="left" w:pos="1987"/>
        </w:tabs>
        <w:jc w:val="both"/>
        <w:rPr>
          <w:b/>
          <w:color w:val="FF0000"/>
          <w:szCs w:val="20"/>
        </w:rPr>
      </w:pPr>
      <w:r w:rsidRPr="007A3EE5">
        <w:rPr>
          <w:b/>
          <w:color w:val="FF0000"/>
          <w:szCs w:val="20"/>
          <w:highlight w:val="cyan"/>
        </w:rPr>
        <w:t>USE THE FOLLOWING PARAGRAPH WHEN SEPARATE REPORTS ARE NOT ISSUED</w:t>
      </w:r>
      <w:r w:rsidR="005926A4" w:rsidRPr="007A3EE5">
        <w:rPr>
          <w:b/>
          <w:color w:val="FF0000"/>
          <w:szCs w:val="20"/>
          <w:highlight w:val="cyan"/>
        </w:rPr>
        <w:t xml:space="preserve"> FOR 2011 AND 2010:</w:t>
      </w:r>
    </w:p>
    <w:p w:rsidR="00D5459E" w:rsidRPr="007A3EE5" w:rsidRDefault="00D5459E" w:rsidP="00433866">
      <w:pPr>
        <w:widowControl/>
        <w:tabs>
          <w:tab w:val="left" w:pos="0"/>
          <w:tab w:val="left" w:pos="547"/>
          <w:tab w:val="left" w:pos="936"/>
          <w:tab w:val="left" w:pos="1440"/>
          <w:tab w:val="left" w:pos="1987"/>
        </w:tabs>
        <w:jc w:val="both"/>
        <w:rPr>
          <w:b/>
          <w:color w:val="FF0000"/>
          <w:szCs w:val="20"/>
        </w:rPr>
      </w:pPr>
      <w:r w:rsidRPr="007A3EE5">
        <w:rPr>
          <w:color w:val="000000"/>
          <w:szCs w:val="20"/>
        </w:rPr>
        <w:t xml:space="preserve">Also, in our opinion, the financial statements referred to above present fairly, in all material respects, the combined fund cash balances </w:t>
      </w:r>
      <w:r w:rsidR="002455FD" w:rsidRPr="007A3EE5">
        <w:rPr>
          <w:color w:val="000000"/>
          <w:szCs w:val="20"/>
        </w:rPr>
        <w:t xml:space="preserve">as of December 31, 2011 and 2010 </w:t>
      </w:r>
      <w:r w:rsidRPr="007A3EE5">
        <w:rPr>
          <w:color w:val="000000"/>
          <w:szCs w:val="20"/>
        </w:rPr>
        <w:t xml:space="preserve">and </w:t>
      </w:r>
      <w:r w:rsidR="002455FD" w:rsidRPr="007A3EE5">
        <w:rPr>
          <w:color w:val="000000"/>
          <w:szCs w:val="20"/>
        </w:rPr>
        <w:t xml:space="preserve">the </w:t>
      </w:r>
      <w:r w:rsidRPr="007A3EE5">
        <w:rPr>
          <w:color w:val="000000"/>
          <w:szCs w:val="20"/>
        </w:rPr>
        <w:t xml:space="preserve">reserves for encumbrances </w:t>
      </w:r>
      <w:r w:rsidR="002455FD" w:rsidRPr="007A3EE5">
        <w:rPr>
          <w:color w:val="000000"/>
          <w:szCs w:val="20"/>
        </w:rPr>
        <w:t xml:space="preserve">as of December 31, 2010 </w:t>
      </w:r>
      <w:r w:rsidRPr="007A3EE5">
        <w:rPr>
          <w:color w:val="000000"/>
          <w:szCs w:val="20"/>
        </w:rPr>
        <w:t>of [ENTITY NAME], [COUNTY NAME] County, , and its combined cash receipts and disbursements for the years then ended on the accounting basis Note 1 describes.</w:t>
      </w:r>
      <w:r w:rsidR="002455FD" w:rsidRPr="007A3EE5">
        <w:rPr>
          <w:color w:val="000000"/>
          <w:szCs w:val="20"/>
        </w:rPr>
        <w:t xml:space="preserve"> </w:t>
      </w:r>
      <w:r w:rsidR="002455FD" w:rsidRPr="007A3EE5">
        <w:rPr>
          <w:b/>
          <w:color w:val="FF0000"/>
          <w:szCs w:val="20"/>
        </w:rPr>
        <w:t xml:space="preserve">&lt;&lt; modify as necessary.  For example, remove “and the reserved for encumbrances as of December 31, 2010” if </w:t>
      </w:r>
      <w:r w:rsidR="005926A4" w:rsidRPr="007A3EE5">
        <w:rPr>
          <w:b/>
          <w:color w:val="FF0000"/>
          <w:szCs w:val="20"/>
        </w:rPr>
        <w:t>auditee</w:t>
      </w:r>
      <w:r w:rsidR="002455FD" w:rsidRPr="007A3EE5">
        <w:rPr>
          <w:b/>
          <w:color w:val="FF0000"/>
          <w:szCs w:val="20"/>
        </w:rPr>
        <w:t xml:space="preserve"> </w:t>
      </w:r>
      <w:r w:rsidR="005926A4" w:rsidRPr="007A3EE5">
        <w:rPr>
          <w:b/>
          <w:color w:val="FF0000"/>
          <w:szCs w:val="20"/>
        </w:rPr>
        <w:t xml:space="preserve">presents financial statements as of </w:t>
      </w:r>
      <w:r w:rsidR="002455FD" w:rsidRPr="007A3EE5">
        <w:rPr>
          <w:b/>
          <w:color w:val="FF0000"/>
          <w:szCs w:val="20"/>
        </w:rPr>
        <w:t xml:space="preserve">December 31, 2010 in accordance with GASB54.  </w:t>
      </w:r>
    </w:p>
    <w:p w:rsidR="005926A4" w:rsidRPr="007A3EE5" w:rsidRDefault="005926A4" w:rsidP="00433866">
      <w:pPr>
        <w:widowControl/>
        <w:tabs>
          <w:tab w:val="left" w:pos="0"/>
          <w:tab w:val="left" w:pos="547"/>
          <w:tab w:val="left" w:pos="936"/>
          <w:tab w:val="left" w:pos="1440"/>
          <w:tab w:val="left" w:pos="1987"/>
        </w:tabs>
        <w:jc w:val="both"/>
        <w:rPr>
          <w:b/>
          <w:color w:val="FF0000"/>
          <w:szCs w:val="20"/>
        </w:rPr>
      </w:pPr>
    </w:p>
    <w:p w:rsidR="005926A4" w:rsidRPr="007A3EE5" w:rsidRDefault="005926A4" w:rsidP="005926A4">
      <w:pPr>
        <w:widowControl/>
        <w:tabs>
          <w:tab w:val="left" w:pos="0"/>
          <w:tab w:val="left" w:pos="547"/>
          <w:tab w:val="left" w:pos="936"/>
          <w:tab w:val="left" w:pos="1440"/>
          <w:tab w:val="left" w:pos="1987"/>
        </w:tabs>
        <w:jc w:val="both"/>
        <w:rPr>
          <w:b/>
          <w:color w:val="FF0000"/>
          <w:szCs w:val="20"/>
        </w:rPr>
      </w:pPr>
      <w:r w:rsidRPr="007A3EE5">
        <w:rPr>
          <w:b/>
          <w:color w:val="FF0000"/>
          <w:szCs w:val="20"/>
          <w:highlight w:val="cyan"/>
        </w:rPr>
        <w:t>USE THE FOLLOWING PARAGRAPH WHEN A SEPARATE REPORT IS ISSUED FOR 2011 FINANCIAL STATEMENTS PRESENTED IN ACCORDANCE WITH GASB 54:</w:t>
      </w:r>
    </w:p>
    <w:p w:rsidR="005926A4" w:rsidRPr="007A3EE5" w:rsidRDefault="005926A4" w:rsidP="005926A4">
      <w:pPr>
        <w:widowControl/>
        <w:tabs>
          <w:tab w:val="left" w:pos="0"/>
          <w:tab w:val="left" w:pos="547"/>
          <w:tab w:val="left" w:pos="936"/>
          <w:tab w:val="left" w:pos="1440"/>
          <w:tab w:val="left" w:pos="1987"/>
        </w:tabs>
        <w:jc w:val="both"/>
        <w:rPr>
          <w:color w:val="000000"/>
          <w:szCs w:val="20"/>
        </w:rPr>
      </w:pPr>
    </w:p>
    <w:p w:rsidR="005926A4" w:rsidRPr="007A3EE5" w:rsidRDefault="005926A4" w:rsidP="005926A4">
      <w:pPr>
        <w:widowControl/>
        <w:tabs>
          <w:tab w:val="left" w:pos="0"/>
          <w:tab w:val="left" w:pos="547"/>
          <w:tab w:val="left" w:pos="936"/>
          <w:tab w:val="left" w:pos="1440"/>
          <w:tab w:val="left" w:pos="1987"/>
        </w:tabs>
        <w:jc w:val="both"/>
        <w:rPr>
          <w:b/>
          <w:color w:val="FF0000"/>
          <w:szCs w:val="20"/>
        </w:rPr>
      </w:pPr>
      <w:r w:rsidRPr="007A3EE5">
        <w:rPr>
          <w:color w:val="000000"/>
          <w:szCs w:val="20"/>
        </w:rPr>
        <w:t>Also, in our opinion, the financial statements referred to above present fairly, in all material respects, the combined fund cash balances of [ENTITY NAME], [COUNTY NAME] County, as of December 31, 2011, and its combined cash receipts and disbursements for the years then ended on the accounting basis Note 1 describes.</w:t>
      </w:r>
    </w:p>
    <w:p w:rsidR="005926A4" w:rsidRPr="007A3EE5" w:rsidRDefault="005926A4" w:rsidP="005926A4">
      <w:pPr>
        <w:widowControl/>
        <w:tabs>
          <w:tab w:val="left" w:pos="0"/>
          <w:tab w:val="left" w:pos="547"/>
          <w:tab w:val="left" w:pos="936"/>
          <w:tab w:val="left" w:pos="1440"/>
          <w:tab w:val="left" w:pos="1987"/>
        </w:tabs>
        <w:jc w:val="both"/>
        <w:rPr>
          <w:b/>
          <w:color w:val="FF0000"/>
          <w:szCs w:val="20"/>
        </w:rPr>
      </w:pPr>
    </w:p>
    <w:p w:rsidR="005926A4" w:rsidRPr="007A3EE5" w:rsidRDefault="005926A4" w:rsidP="005926A4">
      <w:pPr>
        <w:widowControl/>
        <w:tabs>
          <w:tab w:val="left" w:pos="0"/>
          <w:tab w:val="left" w:pos="547"/>
          <w:tab w:val="left" w:pos="936"/>
          <w:tab w:val="left" w:pos="1440"/>
          <w:tab w:val="left" w:pos="1987"/>
        </w:tabs>
        <w:jc w:val="both"/>
        <w:rPr>
          <w:b/>
          <w:color w:val="FF0000"/>
          <w:szCs w:val="20"/>
        </w:rPr>
      </w:pPr>
      <w:r w:rsidRPr="007A3EE5">
        <w:rPr>
          <w:b/>
          <w:color w:val="FF0000"/>
          <w:szCs w:val="20"/>
          <w:highlight w:val="cyan"/>
        </w:rPr>
        <w:t xml:space="preserve">USE THE FOLLOWING PARAGRAPH WHEN SEPARATE REPORTS IS ISSUED FOR 2010 FINANCIAL STATEMENTS </w:t>
      </w:r>
      <w:r w:rsidRPr="007A3EE5">
        <w:rPr>
          <w:b/>
          <w:color w:val="FF0000"/>
          <w:szCs w:val="20"/>
          <w:highlight w:val="cyan"/>
          <w:u w:val="single"/>
        </w:rPr>
        <w:t>NOT</w:t>
      </w:r>
      <w:r w:rsidRPr="007A3EE5">
        <w:rPr>
          <w:b/>
          <w:color w:val="FF0000"/>
          <w:szCs w:val="20"/>
          <w:highlight w:val="cyan"/>
        </w:rPr>
        <w:t xml:space="preserve"> PRESENTED IN ACCORDANCE WITH GASB54:</w:t>
      </w:r>
    </w:p>
    <w:p w:rsidR="005926A4" w:rsidRPr="007A3EE5" w:rsidRDefault="005926A4" w:rsidP="005926A4">
      <w:pPr>
        <w:widowControl/>
        <w:tabs>
          <w:tab w:val="left" w:pos="0"/>
          <w:tab w:val="left" w:pos="547"/>
          <w:tab w:val="left" w:pos="936"/>
          <w:tab w:val="left" w:pos="1440"/>
          <w:tab w:val="left" w:pos="1987"/>
        </w:tabs>
        <w:jc w:val="both"/>
        <w:rPr>
          <w:b/>
          <w:color w:val="FF0000"/>
          <w:szCs w:val="20"/>
        </w:rPr>
      </w:pPr>
    </w:p>
    <w:p w:rsidR="005926A4" w:rsidRPr="007A3EE5" w:rsidRDefault="00333B87" w:rsidP="005926A4">
      <w:pPr>
        <w:widowControl/>
        <w:tabs>
          <w:tab w:val="left" w:pos="0"/>
          <w:tab w:val="left" w:pos="547"/>
          <w:tab w:val="left" w:pos="936"/>
          <w:tab w:val="left" w:pos="1440"/>
          <w:tab w:val="left" w:pos="1987"/>
        </w:tabs>
        <w:jc w:val="both"/>
        <w:rPr>
          <w:b/>
          <w:color w:val="FF0000"/>
          <w:szCs w:val="20"/>
        </w:rPr>
      </w:pPr>
      <w:r w:rsidRPr="007A3EE5">
        <w:rPr>
          <w:color w:val="000000"/>
          <w:szCs w:val="20"/>
        </w:rPr>
        <w:t>Finally</w:t>
      </w:r>
      <w:r w:rsidR="005926A4" w:rsidRPr="007A3EE5">
        <w:rPr>
          <w:color w:val="000000"/>
          <w:szCs w:val="20"/>
        </w:rPr>
        <w:t xml:space="preserve">, in our opinion, the financial statements referred to above present fairly, in all material respects, the combined fund cash balances and the reserves for encumbrances of [ENTITY NAME], [COUNTY NAME] County, as of December 31, 2010, and its combined cash receipts and disbursements for the years then ended on the accounting basis Note 1 describes. </w:t>
      </w:r>
      <w:r w:rsidR="005926A4" w:rsidRPr="007A3EE5">
        <w:rPr>
          <w:b/>
          <w:color w:val="FF0000"/>
          <w:szCs w:val="20"/>
        </w:rPr>
        <w:t xml:space="preserve">&lt;&lt; modify as necessary.  For example, remove “reserved for encumbrances” if auditee does not report encumbrances.  </w:t>
      </w:r>
    </w:p>
    <w:p w:rsidR="005926A4" w:rsidRPr="007A3EE5" w:rsidRDefault="005926A4" w:rsidP="00433866">
      <w:pPr>
        <w:widowControl/>
        <w:tabs>
          <w:tab w:val="left" w:pos="0"/>
          <w:tab w:val="left" w:pos="547"/>
          <w:tab w:val="left" w:pos="936"/>
          <w:tab w:val="left" w:pos="1440"/>
          <w:tab w:val="left" w:pos="1987"/>
        </w:tabs>
        <w:jc w:val="both"/>
        <w:rPr>
          <w:color w:val="000000"/>
          <w:szCs w:val="20"/>
        </w:rPr>
      </w:pPr>
    </w:p>
    <w:p w:rsidR="005926A4" w:rsidRPr="007A3EE5" w:rsidRDefault="005926A4" w:rsidP="005926A4">
      <w:pPr>
        <w:widowControl/>
        <w:tabs>
          <w:tab w:val="left" w:pos="0"/>
          <w:tab w:val="left" w:pos="547"/>
          <w:tab w:val="left" w:pos="936"/>
          <w:tab w:val="left" w:pos="1440"/>
          <w:tab w:val="left" w:pos="1987"/>
        </w:tabs>
        <w:jc w:val="both"/>
        <w:rPr>
          <w:szCs w:val="20"/>
        </w:rPr>
      </w:pPr>
      <w:r w:rsidRPr="007A3EE5">
        <w:rPr>
          <w:b/>
          <w:color w:val="FF0000"/>
          <w:szCs w:val="20"/>
          <w:highlight w:val="cyan"/>
        </w:rPr>
        <w:t>USE THE FOLLOWING PARAGRAPH THE FIRST YEAR THE GOVERNMENT ADOPTS GASB54:</w:t>
      </w:r>
    </w:p>
    <w:p w:rsidR="005926A4" w:rsidRPr="007A3EE5" w:rsidRDefault="005926A4" w:rsidP="00433866">
      <w:pPr>
        <w:widowControl/>
        <w:tabs>
          <w:tab w:val="left" w:pos="0"/>
          <w:tab w:val="left" w:pos="547"/>
          <w:tab w:val="left" w:pos="936"/>
          <w:tab w:val="left" w:pos="1440"/>
          <w:tab w:val="left" w:pos="1987"/>
        </w:tabs>
        <w:jc w:val="both"/>
        <w:rPr>
          <w:color w:val="000000"/>
          <w:szCs w:val="20"/>
        </w:rPr>
      </w:pPr>
    </w:p>
    <w:p w:rsidR="005926A4" w:rsidRPr="00F52BD7" w:rsidRDefault="005926A4" w:rsidP="005926A4">
      <w:pPr>
        <w:widowControl/>
        <w:tabs>
          <w:tab w:val="left" w:pos="-1440"/>
          <w:tab w:val="left" w:pos="-720"/>
          <w:tab w:val="left" w:pos="0"/>
          <w:tab w:val="left" w:pos="720"/>
          <w:tab w:val="left" w:pos="1440"/>
          <w:tab w:val="left" w:pos="2160"/>
          <w:tab w:val="left" w:pos="2880"/>
          <w:tab w:val="left" w:pos="3600"/>
          <w:tab w:val="left" w:pos="4140"/>
        </w:tabs>
        <w:jc w:val="both"/>
        <w:rPr>
          <w:b/>
          <w:bCs/>
          <w:color w:val="FF0000"/>
          <w:szCs w:val="20"/>
        </w:rPr>
      </w:pPr>
      <w:r w:rsidRPr="007A3EE5">
        <w:rPr>
          <w:szCs w:val="20"/>
        </w:rPr>
        <w:t>As described in Note XX,</w:t>
      </w:r>
      <w:r w:rsidRPr="007A3EE5">
        <w:rPr>
          <w:color w:val="FF0000"/>
          <w:szCs w:val="20"/>
        </w:rPr>
        <w:t xml:space="preserve"> </w:t>
      </w:r>
      <w:r w:rsidRPr="007A3EE5">
        <w:rPr>
          <w:szCs w:val="20"/>
        </w:rPr>
        <w:t>during 2011 the [ENTITY NAME]</w:t>
      </w:r>
      <w:r w:rsidRPr="007A3EE5">
        <w:rPr>
          <w:color w:val="FF0000"/>
          <w:szCs w:val="20"/>
        </w:rPr>
        <w:t xml:space="preserve"> </w:t>
      </w:r>
      <w:r w:rsidRPr="007A3EE5">
        <w:rPr>
          <w:szCs w:val="20"/>
        </w:rPr>
        <w:t xml:space="preserve">adopted Governmental Accounting Standards Board Statement No. 54, </w:t>
      </w:r>
      <w:r w:rsidRPr="007A3EE5">
        <w:rPr>
          <w:i/>
          <w:szCs w:val="20"/>
        </w:rPr>
        <w:t>Fund Balance Reporting and Governmental Fund Type Definitions</w:t>
      </w:r>
      <w:r w:rsidRPr="007A3EE5">
        <w:rPr>
          <w:szCs w:val="20"/>
        </w:rPr>
        <w:t>.</w:t>
      </w:r>
    </w:p>
    <w:p w:rsidR="005926A4" w:rsidRDefault="005926A4" w:rsidP="00433866">
      <w:pPr>
        <w:widowControl/>
        <w:tabs>
          <w:tab w:val="left" w:pos="0"/>
          <w:tab w:val="left" w:pos="547"/>
          <w:tab w:val="left" w:pos="936"/>
          <w:tab w:val="left" w:pos="1440"/>
          <w:tab w:val="left" w:pos="1987"/>
        </w:tabs>
        <w:jc w:val="both"/>
        <w:rPr>
          <w:color w:val="000000"/>
          <w:szCs w:val="20"/>
        </w:rPr>
      </w:pPr>
    </w:p>
    <w:p w:rsidR="00D5459E" w:rsidRPr="00D54E2E" w:rsidRDefault="00D5459E" w:rsidP="00433866">
      <w:pPr>
        <w:widowControl/>
        <w:tabs>
          <w:tab w:val="left" w:pos="0"/>
          <w:tab w:val="left" w:pos="547"/>
          <w:tab w:val="left" w:pos="936"/>
          <w:tab w:val="left" w:pos="1440"/>
          <w:tab w:val="left" w:pos="1987"/>
        </w:tabs>
        <w:jc w:val="both"/>
      </w:pPr>
      <w:r w:rsidRPr="00F549B2">
        <w:rPr>
          <w:color w:val="000000"/>
          <w:szCs w:val="20"/>
        </w:rPr>
        <w:t xml:space="preserve">In accordance with </w:t>
      </w:r>
      <w:r w:rsidRPr="00F549B2">
        <w:rPr>
          <w:rStyle w:val="footnoteref"/>
          <w:i/>
          <w:iCs/>
          <w:color w:val="000000"/>
          <w:szCs w:val="20"/>
        </w:rPr>
        <w:t>Government Auditing Standards</w:t>
      </w:r>
      <w:r w:rsidRPr="00F549B2">
        <w:rPr>
          <w:rStyle w:val="footnoteref"/>
          <w:color w:val="000000"/>
          <w:szCs w:val="20"/>
        </w:rPr>
        <w:t>, we have also issued our report dated [REPORT DATE],</w:t>
      </w:r>
      <w:r w:rsidRPr="00F549B2">
        <w:rPr>
          <w:color w:val="000000"/>
          <w:szCs w:val="20"/>
        </w:rPr>
        <w:t xml:space="preserve"> on our consideration of the </w:t>
      </w:r>
      <w:r>
        <w:rPr>
          <w:color w:val="000000"/>
          <w:szCs w:val="20"/>
        </w:rPr>
        <w:t>Government</w:t>
      </w:r>
      <w:r w:rsidRPr="00F549B2">
        <w:rPr>
          <w:color w:val="000000"/>
          <w:szCs w:val="20"/>
        </w:rPr>
        <w:t xml:space="preserve">’s internal control over financial reporting and our tests of its compliance with certain provisions of laws, regulations, contracts and grant agreements and other matters.  </w:t>
      </w:r>
      <w:r w:rsidRPr="00BD0EA3">
        <w:rPr>
          <w:szCs w:val="20"/>
        </w:rPr>
        <w:t>While we did not opine on the internal control over financial reporting or on compliance, t</w:t>
      </w:r>
      <w:r w:rsidRPr="00BD0EA3">
        <w:rPr>
          <w:color w:val="000000"/>
          <w:szCs w:val="20"/>
        </w:rPr>
        <w:t>hat report describes the scope of our testing of internal control over financial reporting and compliance</w:t>
      </w:r>
      <w:r>
        <w:rPr>
          <w:color w:val="000000"/>
          <w:szCs w:val="20"/>
        </w:rPr>
        <w:t>,</w:t>
      </w:r>
      <w:r w:rsidRPr="00BD0EA3">
        <w:rPr>
          <w:color w:val="000000"/>
          <w:szCs w:val="20"/>
        </w:rPr>
        <w:t xml:space="preserve"> and the results of </w:t>
      </w:r>
      <w:r w:rsidRPr="00BD0EA3">
        <w:rPr>
          <w:szCs w:val="20"/>
        </w:rPr>
        <w:t xml:space="preserve">that testing.  </w:t>
      </w:r>
      <w:r w:rsidRPr="00D54E2E">
        <w:t xml:space="preserve">That report is an integral part of an audit performed in accordance with </w:t>
      </w:r>
      <w:r w:rsidRPr="00191F0F">
        <w:rPr>
          <w:i/>
        </w:rPr>
        <w:t>Government Auditing Standards</w:t>
      </w:r>
      <w:r w:rsidRPr="00D54E2E">
        <w:t>.  You should read it in conjunction with this report in assessing the results of our audit.</w:t>
      </w:r>
    </w:p>
    <w:p w:rsidR="00D5459E" w:rsidRPr="00F549B2" w:rsidRDefault="00D5459E" w:rsidP="00433866">
      <w:pPr>
        <w:widowControl/>
        <w:tabs>
          <w:tab w:val="left" w:pos="0"/>
          <w:tab w:val="left" w:pos="547"/>
          <w:tab w:val="left" w:pos="936"/>
          <w:tab w:val="left" w:pos="1440"/>
          <w:tab w:val="left" w:pos="1987"/>
        </w:tabs>
        <w:jc w:val="both"/>
        <w:rPr>
          <w:color w:val="000000"/>
          <w:szCs w:val="20"/>
        </w:rPr>
      </w:pPr>
    </w:p>
    <w:p w:rsidR="00400929" w:rsidRPr="00593E6E" w:rsidRDefault="00400929" w:rsidP="00400929">
      <w:pPr>
        <w:tabs>
          <w:tab w:val="left" w:pos="0"/>
          <w:tab w:val="left" w:pos="547"/>
          <w:tab w:val="left" w:pos="936"/>
          <w:tab w:val="left" w:pos="1440"/>
          <w:tab w:val="left" w:pos="1987"/>
        </w:tabs>
        <w:rPr>
          <w:b/>
          <w:color w:val="FF0000"/>
          <w:szCs w:val="20"/>
        </w:rPr>
      </w:pPr>
      <w:r w:rsidRPr="00593E6E">
        <w:rPr>
          <w:b/>
          <w:color w:val="FF0000"/>
          <w:szCs w:val="20"/>
        </w:rPr>
        <w:t>USE THE FOLLOWING PARAGRAPH WHEN THE SCHEDULE OF FEDERAL AWARDS EXPENDITURE (SFAE</w:t>
      </w:r>
      <w:r w:rsidR="000925F1">
        <w:rPr>
          <w:b/>
          <w:color w:val="FF0000"/>
          <w:szCs w:val="20"/>
        </w:rPr>
        <w:t>)</w:t>
      </w:r>
      <w:r w:rsidR="006716D7" w:rsidRPr="00593E6E">
        <w:rPr>
          <w:b/>
          <w:color w:val="FF0000"/>
          <w:szCs w:val="20"/>
        </w:rPr>
        <w:t xml:space="preserve"> </w:t>
      </w:r>
      <w:r w:rsidRPr="00593E6E">
        <w:rPr>
          <w:b/>
          <w:color w:val="FF0000"/>
          <w:szCs w:val="20"/>
        </w:rPr>
        <w:t>OPINION IS INCLUDED IN THE OPINION LETTER (DELETE IF PRESENTED IN THE A133 REPORT LETTER)</w:t>
      </w:r>
      <w:r w:rsidR="00FB0523">
        <w:rPr>
          <w:b/>
          <w:color w:val="FF0000"/>
          <w:szCs w:val="20"/>
        </w:rPr>
        <w:t>.</w:t>
      </w:r>
      <w:r w:rsidR="004F4078">
        <w:rPr>
          <w:b/>
          <w:color w:val="FF0000"/>
          <w:szCs w:val="20"/>
        </w:rPr>
        <w:t xml:space="preserve"> </w:t>
      </w:r>
      <w:r w:rsidR="00FB0523">
        <w:rPr>
          <w:b/>
          <w:color w:val="FF0000"/>
          <w:szCs w:val="20"/>
        </w:rPr>
        <w:t xml:space="preserve"> Note:</w:t>
      </w:r>
      <w:r w:rsidR="004F4078">
        <w:rPr>
          <w:b/>
          <w:color w:val="FF0000"/>
          <w:szCs w:val="20"/>
        </w:rPr>
        <w:t xml:space="preserve"> </w:t>
      </w:r>
      <w:r w:rsidR="004F4078" w:rsidRPr="00DC199F">
        <w:rPr>
          <w:b/>
          <w:color w:val="FF0000"/>
          <w:szCs w:val="20"/>
        </w:rPr>
        <w:t>If the opinion date on this schedule is later than the financial opinion, revise this paragraph per example 9 in the A-133 report shell</w:t>
      </w:r>
      <w:r w:rsidR="00FB0523">
        <w:rPr>
          <w:b/>
          <w:color w:val="FF0000"/>
          <w:szCs w:val="20"/>
        </w:rPr>
        <w:t>.</w:t>
      </w:r>
      <w:r w:rsidRPr="00593E6E">
        <w:rPr>
          <w:b/>
          <w:color w:val="FF0000"/>
          <w:szCs w:val="20"/>
        </w:rPr>
        <w:t xml:space="preserve"> </w:t>
      </w:r>
    </w:p>
    <w:p w:rsidR="00400929" w:rsidRPr="00593E6E" w:rsidRDefault="00400929" w:rsidP="00400929">
      <w:pPr>
        <w:tabs>
          <w:tab w:val="left" w:pos="0"/>
          <w:tab w:val="left" w:pos="547"/>
          <w:tab w:val="left" w:pos="936"/>
          <w:tab w:val="left" w:pos="1440"/>
          <w:tab w:val="left" w:pos="1987"/>
        </w:tabs>
        <w:rPr>
          <w:b/>
          <w:color w:val="FF0000"/>
          <w:szCs w:val="20"/>
        </w:rPr>
      </w:pPr>
    </w:p>
    <w:p w:rsidR="00A90971" w:rsidRPr="00F549B2" w:rsidRDefault="00A90971" w:rsidP="00A90971">
      <w:pPr>
        <w:widowControl/>
        <w:tabs>
          <w:tab w:val="left" w:pos="0"/>
          <w:tab w:val="left" w:pos="547"/>
          <w:tab w:val="left" w:pos="936"/>
          <w:tab w:val="left" w:pos="1440"/>
          <w:tab w:val="left" w:pos="1987"/>
        </w:tabs>
        <w:jc w:val="both"/>
        <w:rPr>
          <w:color w:val="000000"/>
          <w:szCs w:val="20"/>
        </w:rPr>
      </w:pPr>
      <w:r w:rsidRPr="00593E6E">
        <w:t xml:space="preserve">We conducted our audit to opine on the Government’s financial statements taken as a whole.  The federal awards expenditure schedule provides additional information required by the U.S. Office of Management and Budget Circular A-133, </w:t>
      </w:r>
      <w:r w:rsidRPr="00593E6E">
        <w:rPr>
          <w:rStyle w:val="footnoteref"/>
          <w:i/>
          <w:iCs/>
        </w:rPr>
        <w:t>Audits of States, Local Governments, and Non-Profit Organizations</w:t>
      </w:r>
      <w:r w:rsidRPr="00593E6E">
        <w:t>, an</w:t>
      </w:r>
      <w:r w:rsidR="00995068">
        <w:t xml:space="preserve">d is not a required part of the </w:t>
      </w:r>
      <w:r w:rsidRPr="00593E6E">
        <w:t>financial statements.</w:t>
      </w:r>
      <w:r w:rsidRPr="00593E6E">
        <w:rPr>
          <w:color w:val="000000"/>
        </w:rPr>
        <w:t xml:space="preserve"> </w:t>
      </w:r>
      <w:r w:rsidRPr="00593E6E">
        <w:rPr>
          <w:lang w:eastAsia="ja-JP"/>
        </w:rPr>
        <w:t xml:space="preserve">The </w:t>
      </w:r>
      <w:r w:rsidRPr="00593E6E">
        <w:t>federal awards expenditure schedule is</w:t>
      </w:r>
      <w:r w:rsidRPr="00593E6E">
        <w:rPr>
          <w:lang w:eastAsia="ja-JP"/>
        </w:rPr>
        <w:t xml:space="preserve"> management’s responsibility, and was derived from and relates directly to the underlying accounting and other records used to prepare the financial statements.  This </w:t>
      </w:r>
      <w:r w:rsidRPr="00593E6E">
        <w:t xml:space="preserve">schedule was subject to the auditing procedures we applied to the financial statements.  We also </w:t>
      </w:r>
      <w:r w:rsidRPr="00593E6E">
        <w:rPr>
          <w:lang w:eastAsia="ja-JP"/>
        </w:rPr>
        <w:t>applied certain additional procedures, including comparing and reconciling this information directly to the underlying accounting and other records used to prepare the financial statements or to the financial statements themselves, in accordance with auditing standards generally accepted in the United States of America.</w:t>
      </w:r>
      <w:r w:rsidRPr="00593E6E">
        <w:t xml:space="preserve">  In our opinion, this information is fairly stated in all material respects in relation to the financial statements taken as a whole</w:t>
      </w:r>
      <w:r w:rsidRPr="00593E6E">
        <w:rPr>
          <w:color w:val="000000"/>
        </w:rPr>
        <w:t>.</w:t>
      </w:r>
    </w:p>
    <w:p w:rsidR="00D5459E" w:rsidRDefault="00D5459E" w:rsidP="00433866">
      <w:pPr>
        <w:widowControl/>
        <w:tabs>
          <w:tab w:val="left" w:pos="0"/>
          <w:tab w:val="left" w:pos="547"/>
          <w:tab w:val="left" w:pos="936"/>
          <w:tab w:val="left" w:pos="1440"/>
          <w:tab w:val="left" w:pos="1987"/>
        </w:tabs>
        <w:rPr>
          <w:color w:val="000000"/>
          <w:szCs w:val="20"/>
        </w:rPr>
      </w:pPr>
    </w:p>
    <w:p w:rsidR="00733CCA" w:rsidRDefault="00733CCA" w:rsidP="00433866">
      <w:pPr>
        <w:widowControl/>
        <w:tabs>
          <w:tab w:val="left" w:pos="0"/>
          <w:tab w:val="left" w:pos="547"/>
          <w:tab w:val="left" w:pos="936"/>
          <w:tab w:val="left" w:pos="1440"/>
          <w:tab w:val="left" w:pos="1987"/>
        </w:tabs>
        <w:rPr>
          <w:color w:val="000000"/>
          <w:szCs w:val="20"/>
        </w:rPr>
      </w:pPr>
    </w:p>
    <w:p w:rsidR="00733CCA" w:rsidRPr="00F549B2" w:rsidRDefault="00733CCA" w:rsidP="00433866">
      <w:pPr>
        <w:widowControl/>
        <w:tabs>
          <w:tab w:val="left" w:pos="0"/>
          <w:tab w:val="left" w:pos="547"/>
          <w:tab w:val="left" w:pos="936"/>
          <w:tab w:val="left" w:pos="1440"/>
          <w:tab w:val="left" w:pos="1987"/>
        </w:tabs>
        <w:rPr>
          <w:color w:val="000000"/>
          <w:szCs w:val="20"/>
        </w:rPr>
      </w:pPr>
    </w:p>
    <w:p w:rsidR="00D5459E" w:rsidRPr="00F549B2" w:rsidRDefault="00D5459E" w:rsidP="00433866">
      <w:pPr>
        <w:widowControl/>
        <w:tabs>
          <w:tab w:val="left" w:pos="0"/>
          <w:tab w:val="left" w:pos="547"/>
          <w:tab w:val="left" w:pos="936"/>
          <w:tab w:val="left" w:pos="1440"/>
          <w:tab w:val="left" w:pos="1987"/>
        </w:tabs>
        <w:rPr>
          <w:color w:val="000000"/>
          <w:szCs w:val="20"/>
        </w:rPr>
      </w:pPr>
    </w:p>
    <w:p w:rsidR="00D5459E" w:rsidRPr="00F549B2" w:rsidRDefault="00D5459E" w:rsidP="00433866">
      <w:pPr>
        <w:widowControl/>
        <w:tabs>
          <w:tab w:val="left" w:pos="0"/>
          <w:tab w:val="left" w:pos="547"/>
          <w:tab w:val="left" w:pos="936"/>
          <w:tab w:val="left" w:pos="1440"/>
          <w:tab w:val="left" w:pos="1987"/>
        </w:tabs>
        <w:rPr>
          <w:color w:val="000000"/>
          <w:szCs w:val="20"/>
        </w:rPr>
      </w:pPr>
    </w:p>
    <w:p w:rsidR="00D5459E" w:rsidRPr="00F549B2" w:rsidRDefault="00D5459E" w:rsidP="00433866">
      <w:pPr>
        <w:widowControl/>
        <w:tabs>
          <w:tab w:val="left" w:pos="0"/>
          <w:tab w:val="left" w:pos="547"/>
          <w:tab w:val="left" w:pos="936"/>
          <w:tab w:val="left" w:pos="1440"/>
          <w:tab w:val="left" w:pos="1987"/>
        </w:tabs>
        <w:rPr>
          <w:color w:val="000000"/>
          <w:szCs w:val="20"/>
        </w:rPr>
      </w:pPr>
    </w:p>
    <w:p w:rsidR="00D5459E" w:rsidRPr="000F327A" w:rsidRDefault="00D5459E" w:rsidP="00433866">
      <w:pPr>
        <w:rPr>
          <w:rStyle w:val="footnoteref"/>
          <w:color w:val="000000"/>
          <w:szCs w:val="20"/>
        </w:rPr>
      </w:pPr>
    </w:p>
    <w:p w:rsidR="00660547" w:rsidRPr="00D84570" w:rsidRDefault="00660547" w:rsidP="00660547">
      <w:pPr>
        <w:tabs>
          <w:tab w:val="left" w:pos="0"/>
          <w:tab w:val="left" w:pos="547"/>
          <w:tab w:val="left" w:pos="936"/>
          <w:tab w:val="left" w:pos="1440"/>
          <w:tab w:val="left" w:pos="1987"/>
        </w:tabs>
        <w:rPr>
          <w:color w:val="000000"/>
          <w:szCs w:val="20"/>
        </w:rPr>
      </w:pPr>
      <w:r>
        <w:rPr>
          <w:b/>
          <w:bCs/>
          <w:color w:val="000000"/>
          <w:szCs w:val="20"/>
        </w:rPr>
        <w:t>Auditor’s Signature</w:t>
      </w:r>
    </w:p>
    <w:p w:rsidR="00D5459E" w:rsidRDefault="00D5459E" w:rsidP="006510EA">
      <w:pPr>
        <w:widowControl/>
        <w:tabs>
          <w:tab w:val="left" w:pos="0"/>
          <w:tab w:val="left" w:pos="547"/>
          <w:tab w:val="left" w:pos="936"/>
          <w:tab w:val="left" w:pos="1440"/>
          <w:tab w:val="left" w:pos="1987"/>
        </w:tabs>
        <w:rPr>
          <w:rStyle w:val="footnoteref"/>
          <w:color w:val="000000"/>
          <w:szCs w:val="20"/>
        </w:rPr>
      </w:pPr>
    </w:p>
    <w:p w:rsidR="00D5459E" w:rsidRPr="00984807" w:rsidRDefault="00D5459E" w:rsidP="006510EA">
      <w:pPr>
        <w:widowControl/>
        <w:tabs>
          <w:tab w:val="left" w:pos="0"/>
          <w:tab w:val="left" w:pos="547"/>
          <w:tab w:val="left" w:pos="936"/>
          <w:tab w:val="left" w:pos="1440"/>
          <w:tab w:val="left" w:pos="1987"/>
        </w:tabs>
        <w:rPr>
          <w:color w:val="FF0000"/>
          <w:szCs w:val="20"/>
        </w:rPr>
        <w:sectPr w:rsidR="00D5459E" w:rsidRPr="00984807" w:rsidSect="00F549B2">
          <w:headerReference w:type="default" r:id="rId8"/>
          <w:footerReference w:type="default" r:id="rId9"/>
          <w:endnotePr>
            <w:numFmt w:val="decimal"/>
          </w:endnotePr>
          <w:pgSz w:w="12240" w:h="15840"/>
          <w:pgMar w:top="720" w:right="1440" w:bottom="1440" w:left="1440" w:header="720" w:footer="720" w:gutter="0"/>
          <w:cols w:space="720"/>
          <w:noEndnote/>
        </w:sectPr>
      </w:pPr>
      <w:r w:rsidRPr="00984807">
        <w:rPr>
          <w:rStyle w:val="footnoteref"/>
          <w:color w:val="FF0000"/>
          <w:szCs w:val="20"/>
        </w:rPr>
        <w:t>Do not use the “restricted use” paragraph with this opinion.</w:t>
      </w:r>
    </w:p>
    <w:p w:rsidR="00D5459E" w:rsidRPr="00F549B2" w:rsidRDefault="00D5459E" w:rsidP="006510EA">
      <w:pPr>
        <w:tabs>
          <w:tab w:val="left" w:pos="0"/>
          <w:tab w:val="left" w:pos="547"/>
          <w:tab w:val="left" w:pos="936"/>
          <w:tab w:val="left" w:pos="1440"/>
          <w:tab w:val="left" w:pos="1987"/>
        </w:tabs>
        <w:jc w:val="center"/>
        <w:rPr>
          <w:b/>
          <w:szCs w:val="20"/>
        </w:rPr>
      </w:pPr>
      <w:r w:rsidRPr="00F549B2">
        <w:rPr>
          <w:b/>
          <w:szCs w:val="20"/>
        </w:rPr>
        <w:lastRenderedPageBreak/>
        <w:t>Unqualified Report on Modified</w:t>
      </w:r>
      <w:r w:rsidRPr="00F549B2">
        <w:rPr>
          <w:rStyle w:val="EndnoteReference"/>
          <w:b/>
          <w:szCs w:val="20"/>
        </w:rPr>
        <w:endnoteReference w:id="4"/>
      </w:r>
      <w:r w:rsidRPr="00F549B2">
        <w:rPr>
          <w:b/>
          <w:szCs w:val="20"/>
        </w:rPr>
        <w:t xml:space="preserve"> Cash Basis (OCBOA) Statements </w:t>
      </w:r>
    </w:p>
    <w:p w:rsidR="00D5459E" w:rsidRPr="00F549B2" w:rsidRDefault="00D5459E" w:rsidP="006510EA">
      <w:pPr>
        <w:tabs>
          <w:tab w:val="left" w:pos="0"/>
          <w:tab w:val="left" w:pos="547"/>
          <w:tab w:val="left" w:pos="936"/>
          <w:tab w:val="left" w:pos="1440"/>
          <w:tab w:val="left" w:pos="1987"/>
        </w:tabs>
        <w:jc w:val="center"/>
        <w:rPr>
          <w:b/>
          <w:szCs w:val="20"/>
        </w:rPr>
      </w:pPr>
      <w:r w:rsidRPr="00F549B2">
        <w:rPr>
          <w:b/>
          <w:szCs w:val="20"/>
        </w:rPr>
        <w:t xml:space="preserve">Accompanied by </w:t>
      </w:r>
      <w:r w:rsidR="00F127AE">
        <w:rPr>
          <w:b/>
          <w:szCs w:val="20"/>
        </w:rPr>
        <w:t>MD&amp;A</w:t>
      </w:r>
      <w:r w:rsidRPr="00F549B2">
        <w:rPr>
          <w:b/>
          <w:szCs w:val="20"/>
        </w:rPr>
        <w:t xml:space="preserve"> </w:t>
      </w:r>
    </w:p>
    <w:p w:rsidR="00D5459E" w:rsidRPr="00F549B2" w:rsidRDefault="00D5459E" w:rsidP="006510EA">
      <w:pPr>
        <w:tabs>
          <w:tab w:val="left" w:pos="0"/>
          <w:tab w:val="left" w:pos="547"/>
          <w:tab w:val="left" w:pos="936"/>
          <w:tab w:val="left" w:pos="1440"/>
          <w:tab w:val="left" w:pos="1987"/>
        </w:tabs>
        <w:jc w:val="center"/>
        <w:rPr>
          <w:b/>
          <w:szCs w:val="20"/>
        </w:rPr>
      </w:pPr>
      <w:r w:rsidRPr="00F549B2">
        <w:rPr>
          <w:b/>
          <w:szCs w:val="20"/>
        </w:rPr>
        <w:t>and Supplementary Information</w:t>
      </w:r>
      <w:r>
        <w:rPr>
          <w:b/>
          <w:szCs w:val="20"/>
        </w:rPr>
        <w:t xml:space="preserve">, </w:t>
      </w:r>
      <w:r w:rsidRPr="008D1D50">
        <w:rPr>
          <w:b/>
          <w:color w:val="FF0000"/>
          <w:szCs w:val="20"/>
        </w:rPr>
        <w:t>if &gt; 1 opinion unit</w:t>
      </w:r>
      <w:r w:rsidRPr="00F549B2">
        <w:rPr>
          <w:b/>
          <w:szCs w:val="20"/>
        </w:rPr>
        <w:t>– GASB 34 Format</w:t>
      </w:r>
      <w:r w:rsidRPr="00F549B2">
        <w:rPr>
          <w:rStyle w:val="EndnoteReference"/>
          <w:b/>
          <w:szCs w:val="20"/>
        </w:rPr>
        <w:endnoteReference w:id="5"/>
      </w:r>
    </w:p>
    <w:p w:rsidR="00D5459E" w:rsidRPr="00F549B2" w:rsidRDefault="00D5459E" w:rsidP="006510EA">
      <w:pPr>
        <w:tabs>
          <w:tab w:val="left" w:pos="0"/>
          <w:tab w:val="left" w:pos="547"/>
          <w:tab w:val="left" w:pos="936"/>
          <w:tab w:val="left" w:pos="1440"/>
          <w:tab w:val="left" w:pos="1987"/>
        </w:tabs>
        <w:jc w:val="center"/>
        <w:rPr>
          <w:b/>
          <w:szCs w:val="20"/>
        </w:rPr>
      </w:pPr>
    </w:p>
    <w:p w:rsidR="00D5459E" w:rsidRPr="00F549B2" w:rsidRDefault="00D5459E" w:rsidP="006510EA">
      <w:pPr>
        <w:tabs>
          <w:tab w:val="left" w:pos="0"/>
          <w:tab w:val="left" w:pos="547"/>
          <w:tab w:val="left" w:pos="936"/>
          <w:tab w:val="left" w:pos="1440"/>
          <w:tab w:val="left" w:pos="1987"/>
        </w:tabs>
        <w:jc w:val="center"/>
        <w:rPr>
          <w:b/>
          <w:szCs w:val="20"/>
        </w:rPr>
      </w:pPr>
      <w:r w:rsidRPr="00F549B2">
        <w:rPr>
          <w:b/>
          <w:szCs w:val="20"/>
        </w:rPr>
        <w:t>INDEPENDENT ACCOUNTANTS’ REPORT</w:t>
      </w:r>
    </w:p>
    <w:p w:rsidR="00D5459E" w:rsidRDefault="00D5459E" w:rsidP="006510EA">
      <w:pPr>
        <w:tabs>
          <w:tab w:val="left" w:pos="0"/>
          <w:tab w:val="left" w:pos="547"/>
          <w:tab w:val="left" w:pos="936"/>
          <w:tab w:val="left" w:pos="1440"/>
          <w:tab w:val="left" w:pos="1987"/>
        </w:tabs>
      </w:pPr>
    </w:p>
    <w:p w:rsidR="00D5459E" w:rsidRPr="00F549B2" w:rsidRDefault="00D5459E" w:rsidP="006510EA">
      <w:pPr>
        <w:tabs>
          <w:tab w:val="left" w:pos="0"/>
          <w:tab w:val="left" w:pos="547"/>
          <w:tab w:val="left" w:pos="936"/>
          <w:tab w:val="left" w:pos="1440"/>
          <w:tab w:val="left" w:pos="1987"/>
        </w:tabs>
      </w:pPr>
    </w:p>
    <w:p w:rsidR="00D5459E" w:rsidRDefault="00D5459E" w:rsidP="006510EA">
      <w:pPr>
        <w:tabs>
          <w:tab w:val="left" w:pos="0"/>
          <w:tab w:val="left" w:pos="547"/>
          <w:tab w:val="left" w:pos="936"/>
          <w:tab w:val="left" w:pos="1440"/>
          <w:tab w:val="left" w:pos="1987"/>
        </w:tabs>
        <w:rPr>
          <w:color w:val="000000"/>
          <w:szCs w:val="20"/>
        </w:rPr>
      </w:pPr>
      <w:r w:rsidRPr="00F549B2">
        <w:rPr>
          <w:color w:val="000000"/>
          <w:szCs w:val="20"/>
        </w:rPr>
        <w:t>[ENTITY NAME]</w:t>
      </w:r>
    </w:p>
    <w:p w:rsidR="00D5459E" w:rsidRPr="00F549B2" w:rsidRDefault="00D5459E" w:rsidP="006510EA">
      <w:pPr>
        <w:tabs>
          <w:tab w:val="left" w:pos="0"/>
          <w:tab w:val="left" w:pos="547"/>
          <w:tab w:val="left" w:pos="936"/>
          <w:tab w:val="left" w:pos="1440"/>
          <w:tab w:val="left" w:pos="1987"/>
        </w:tabs>
        <w:rPr>
          <w:color w:val="000000"/>
          <w:szCs w:val="20"/>
        </w:rPr>
      </w:pPr>
      <w:r w:rsidRPr="00F549B2">
        <w:rPr>
          <w:color w:val="000000"/>
          <w:szCs w:val="20"/>
        </w:rPr>
        <w:t>[COUNTY NAME]</w:t>
      </w:r>
      <w:r>
        <w:rPr>
          <w:color w:val="000000"/>
          <w:szCs w:val="20"/>
        </w:rPr>
        <w:t xml:space="preserve"> </w:t>
      </w:r>
      <w:r w:rsidRPr="00F549B2">
        <w:rPr>
          <w:color w:val="000000"/>
          <w:szCs w:val="20"/>
        </w:rPr>
        <w:t>County</w:t>
      </w:r>
    </w:p>
    <w:p w:rsidR="00D5459E" w:rsidRPr="00EB0F80" w:rsidRDefault="00D5459E" w:rsidP="006510EA">
      <w:pPr>
        <w:tabs>
          <w:tab w:val="left" w:pos="0"/>
          <w:tab w:val="left" w:pos="547"/>
          <w:tab w:val="left" w:pos="936"/>
          <w:tab w:val="left" w:pos="1440"/>
          <w:tab w:val="left" w:pos="1987"/>
        </w:tabs>
        <w:rPr>
          <w:rStyle w:val="footnoteref"/>
        </w:rPr>
      </w:pPr>
      <w:r w:rsidRPr="00EB0F80">
        <w:rPr>
          <w:rStyle w:val="footnoteref"/>
        </w:rPr>
        <w:t>[STREET ADDRESS]</w:t>
      </w:r>
    </w:p>
    <w:p w:rsidR="00D5459E" w:rsidRPr="00EB0F80" w:rsidRDefault="00D5459E" w:rsidP="006510EA">
      <w:pPr>
        <w:tabs>
          <w:tab w:val="left" w:pos="0"/>
          <w:tab w:val="left" w:pos="547"/>
          <w:tab w:val="left" w:pos="936"/>
          <w:tab w:val="left" w:pos="1440"/>
          <w:tab w:val="left" w:pos="1987"/>
        </w:tabs>
        <w:rPr>
          <w:rStyle w:val="footnoteref"/>
        </w:rPr>
      </w:pPr>
      <w:r w:rsidRPr="00EB0F80">
        <w:rPr>
          <w:rStyle w:val="footnoteref"/>
        </w:rPr>
        <w:t>[CITY], Ohio [ZIP CODE]</w:t>
      </w:r>
    </w:p>
    <w:p w:rsidR="00D5459E" w:rsidRDefault="00D5459E" w:rsidP="006510EA">
      <w:pPr>
        <w:tabs>
          <w:tab w:val="left" w:pos="0"/>
          <w:tab w:val="left" w:pos="547"/>
          <w:tab w:val="left" w:pos="936"/>
          <w:tab w:val="left" w:pos="1440"/>
          <w:tab w:val="left" w:pos="1987"/>
        </w:tabs>
        <w:rPr>
          <w:rStyle w:val="footnoteref"/>
        </w:rPr>
      </w:pPr>
    </w:p>
    <w:p w:rsidR="00D5459E" w:rsidRPr="00EB0F80" w:rsidRDefault="00D5459E" w:rsidP="006510EA">
      <w:pPr>
        <w:tabs>
          <w:tab w:val="left" w:pos="0"/>
          <w:tab w:val="left" w:pos="547"/>
          <w:tab w:val="left" w:pos="936"/>
          <w:tab w:val="left" w:pos="1440"/>
          <w:tab w:val="left" w:pos="1987"/>
        </w:tabs>
        <w:rPr>
          <w:rStyle w:val="footnoteref"/>
        </w:rPr>
      </w:pPr>
      <w:r w:rsidRPr="00EB0F80">
        <w:rPr>
          <w:rStyle w:val="footnoteref"/>
        </w:rPr>
        <w:t>To the [GOVERNING BODY]:</w:t>
      </w:r>
    </w:p>
    <w:p w:rsidR="00D5459E" w:rsidRPr="00F549B2" w:rsidRDefault="00D5459E" w:rsidP="006510EA">
      <w:pPr>
        <w:tabs>
          <w:tab w:val="left" w:pos="0"/>
          <w:tab w:val="left" w:pos="547"/>
          <w:tab w:val="left" w:pos="936"/>
          <w:tab w:val="left" w:pos="1440"/>
          <w:tab w:val="left" w:pos="1987"/>
        </w:tabs>
        <w:rPr>
          <w:color w:val="000000"/>
          <w:szCs w:val="20"/>
        </w:rPr>
      </w:pPr>
    </w:p>
    <w:p w:rsidR="00D5459E" w:rsidRPr="00F549B2" w:rsidRDefault="00D5459E" w:rsidP="006510EA">
      <w:pPr>
        <w:tabs>
          <w:tab w:val="left" w:pos="0"/>
          <w:tab w:val="left" w:pos="547"/>
          <w:tab w:val="left" w:pos="936"/>
          <w:tab w:val="left" w:pos="1440"/>
          <w:tab w:val="left" w:pos="1987"/>
        </w:tabs>
        <w:jc w:val="both"/>
        <w:rPr>
          <w:szCs w:val="20"/>
        </w:rPr>
      </w:pPr>
      <w:proofErr w:type="gramStart"/>
      <w:r w:rsidRPr="00F549B2">
        <w:rPr>
          <w:szCs w:val="20"/>
        </w:rPr>
        <w:t xml:space="preserve">We have audited the accompanying financial statements of the governmental activities, the business-type activities, the </w:t>
      </w:r>
      <w:r w:rsidRPr="00F549B2">
        <w:rPr>
          <w:b/>
          <w:szCs w:val="20"/>
        </w:rPr>
        <w:t>[aggregate]</w:t>
      </w:r>
      <w:r w:rsidRPr="00F549B2">
        <w:rPr>
          <w:szCs w:val="20"/>
        </w:rPr>
        <w:t xml:space="preserve"> discretely presented component unit</w:t>
      </w:r>
      <w:r>
        <w:rPr>
          <w:b/>
          <w:szCs w:val="20"/>
        </w:rPr>
        <w:t>(</w:t>
      </w:r>
      <w:r w:rsidRPr="00F549B2">
        <w:rPr>
          <w:b/>
          <w:szCs w:val="20"/>
        </w:rPr>
        <w:t>s</w:t>
      </w:r>
      <w:r>
        <w:rPr>
          <w:b/>
          <w:szCs w:val="20"/>
        </w:rPr>
        <w:t>)</w:t>
      </w:r>
      <w:r w:rsidRPr="00F549B2">
        <w:rPr>
          <w:b/>
          <w:szCs w:val="20"/>
        </w:rPr>
        <w:t>,</w:t>
      </w:r>
      <w:r w:rsidRPr="00F549B2">
        <w:rPr>
          <w:szCs w:val="20"/>
        </w:rPr>
        <w:t xml:space="preserve"> each major fund, and the aggregate remaining fund information</w:t>
      </w:r>
      <w:r w:rsidRPr="00EE0122">
        <w:rPr>
          <w:rStyle w:val="EndnoteReference"/>
          <w:sz w:val="24"/>
          <w:szCs w:val="24"/>
        </w:rPr>
        <w:endnoteReference w:id="6"/>
      </w:r>
      <w:r w:rsidRPr="00EE0122">
        <w:rPr>
          <w:sz w:val="24"/>
          <w:szCs w:val="24"/>
          <w:vertAlign w:val="superscript"/>
        </w:rPr>
        <w:t xml:space="preserve"> </w:t>
      </w:r>
      <w:r w:rsidRPr="00F549B2">
        <w:rPr>
          <w:szCs w:val="20"/>
        </w:rPr>
        <w:t>of [ENTITY NAME]</w:t>
      </w:r>
      <w:r>
        <w:rPr>
          <w:szCs w:val="20"/>
        </w:rPr>
        <w:t>,</w:t>
      </w:r>
      <w:r w:rsidRPr="00F549B2">
        <w:rPr>
          <w:szCs w:val="20"/>
        </w:rPr>
        <w:t xml:space="preserve"> [COUNTY NAME] County, Ohio (the Government),</w:t>
      </w:r>
      <w:r w:rsidRPr="00EE0122">
        <w:rPr>
          <w:rStyle w:val="EndnoteReference"/>
          <w:sz w:val="24"/>
          <w:szCs w:val="24"/>
        </w:rPr>
        <w:endnoteReference w:id="7"/>
      </w:r>
      <w:r w:rsidRPr="00EE0122">
        <w:rPr>
          <w:sz w:val="24"/>
          <w:szCs w:val="24"/>
          <w:vertAlign w:val="superscript"/>
        </w:rPr>
        <w:t xml:space="preserve"> </w:t>
      </w:r>
      <w:r w:rsidR="00C72524" w:rsidRPr="00F549B2">
        <w:rPr>
          <w:szCs w:val="20"/>
        </w:rPr>
        <w:fldChar w:fldCharType="begin"/>
      </w:r>
      <w:r w:rsidRPr="00F549B2">
        <w:rPr>
          <w:szCs w:val="20"/>
        </w:rPr>
        <w:instrText xml:space="preserve"> ASK  ClientName "Enter Client Name:"  \* MERGEFORMAT </w:instrText>
      </w:r>
      <w:r w:rsidR="00C72524" w:rsidRPr="00F549B2">
        <w:rPr>
          <w:szCs w:val="20"/>
        </w:rPr>
        <w:fldChar w:fldCharType="separate"/>
      </w:r>
      <w:bookmarkStart w:id="1" w:name="ClientName"/>
      <w:r w:rsidRPr="00F549B2">
        <w:rPr>
          <w:szCs w:val="20"/>
        </w:rPr>
        <w:t>Dublin City School District</w:t>
      </w:r>
      <w:bookmarkEnd w:id="1"/>
      <w:r w:rsidR="00C72524" w:rsidRPr="00F549B2">
        <w:rPr>
          <w:szCs w:val="20"/>
        </w:rPr>
        <w:fldChar w:fldCharType="end"/>
      </w:r>
      <w:r w:rsidR="00C72524" w:rsidRPr="00F549B2">
        <w:rPr>
          <w:szCs w:val="20"/>
        </w:rPr>
        <w:fldChar w:fldCharType="begin"/>
      </w:r>
      <w:r w:rsidRPr="00F549B2">
        <w:rPr>
          <w:szCs w:val="20"/>
        </w:rPr>
        <w:instrText xml:space="preserve"> ASK ClientName "Enter Client Name:"\o  \* MERGEFORMAT </w:instrText>
      </w:r>
      <w:r w:rsidR="00C72524" w:rsidRPr="00F549B2">
        <w:rPr>
          <w:szCs w:val="20"/>
        </w:rPr>
        <w:fldChar w:fldCharType="end"/>
      </w:r>
      <w:r w:rsidR="00C72524" w:rsidRPr="00F549B2">
        <w:rPr>
          <w:szCs w:val="20"/>
        </w:rPr>
        <w:fldChar w:fldCharType="begin"/>
      </w:r>
      <w:r w:rsidRPr="00F549B2">
        <w:rPr>
          <w:szCs w:val="20"/>
        </w:rPr>
        <w:instrText xml:space="preserve"> ASK  ClientName "Enter the client name:"  \* MERGEFORMAT </w:instrText>
      </w:r>
      <w:r w:rsidR="00C72524" w:rsidRPr="00F549B2">
        <w:rPr>
          <w:szCs w:val="20"/>
        </w:rPr>
        <w:fldChar w:fldCharType="end"/>
      </w:r>
      <w:r w:rsidR="00C72524" w:rsidRPr="00F549B2">
        <w:rPr>
          <w:szCs w:val="20"/>
        </w:rPr>
        <w:fldChar w:fldCharType="begin"/>
      </w:r>
      <w:r w:rsidRPr="00F549B2">
        <w:rPr>
          <w:szCs w:val="20"/>
        </w:rPr>
        <w:instrText xml:space="preserve"> ASK  ClientName "Enter Client Name:"  \* MERGEFORMAT </w:instrText>
      </w:r>
      <w:r w:rsidR="00C72524" w:rsidRPr="00F549B2">
        <w:rPr>
          <w:szCs w:val="20"/>
        </w:rPr>
        <w:fldChar w:fldCharType="separate"/>
      </w:r>
      <w:r w:rsidRPr="00F549B2">
        <w:rPr>
          <w:szCs w:val="20"/>
        </w:rPr>
        <w:t>Dublin Schools</w:t>
      </w:r>
      <w:r w:rsidRPr="00F549B2">
        <w:rPr>
          <w:szCs w:val="20"/>
        </w:rPr>
        <w:br/>
      </w:r>
      <w:r w:rsidR="00C72524" w:rsidRPr="00F549B2">
        <w:rPr>
          <w:szCs w:val="20"/>
        </w:rPr>
        <w:fldChar w:fldCharType="end"/>
      </w:r>
      <w:r w:rsidR="00C72524" w:rsidRPr="00F549B2">
        <w:rPr>
          <w:szCs w:val="20"/>
        </w:rPr>
        <w:fldChar w:fldCharType="begin"/>
      </w:r>
      <w:r w:rsidRPr="00F549B2">
        <w:rPr>
          <w:szCs w:val="20"/>
        </w:rPr>
        <w:instrText xml:space="preserve"> ASK  Name "Enter the audit entity and county names separated by a comma." \o  \* MERGEFORMAT </w:instrText>
      </w:r>
      <w:r w:rsidR="00C72524" w:rsidRPr="00F549B2">
        <w:rPr>
          <w:szCs w:val="20"/>
        </w:rPr>
        <w:fldChar w:fldCharType="end"/>
      </w:r>
      <w:r w:rsidRPr="00F549B2">
        <w:rPr>
          <w:szCs w:val="20"/>
        </w:rPr>
        <w:t>as of and for the year ended [FYE DATE], which collectively comprise the Government’s basic financial statements as listed in the table of contents.</w:t>
      </w:r>
      <w:proofErr w:type="gramEnd"/>
      <w:r w:rsidRPr="00F549B2">
        <w:rPr>
          <w:szCs w:val="20"/>
        </w:rPr>
        <w:t xml:space="preserve">  These financial statements are the responsibility of the Government’s management.  Our responsibility is to express opinion</w:t>
      </w:r>
      <w:r w:rsidRPr="008D1D50">
        <w:rPr>
          <w:szCs w:val="20"/>
        </w:rPr>
        <w:t>s</w:t>
      </w:r>
      <w:r w:rsidRPr="00F549B2">
        <w:rPr>
          <w:szCs w:val="20"/>
        </w:rPr>
        <w:t xml:space="preserve"> on these financial statements based on our audit. </w:t>
      </w:r>
    </w:p>
    <w:p w:rsidR="00D5459E" w:rsidRPr="00F549B2" w:rsidRDefault="00D5459E" w:rsidP="006510EA">
      <w:pPr>
        <w:tabs>
          <w:tab w:val="left" w:pos="0"/>
          <w:tab w:val="left" w:pos="547"/>
          <w:tab w:val="left" w:pos="936"/>
          <w:tab w:val="left" w:pos="1440"/>
          <w:tab w:val="left" w:pos="1987"/>
        </w:tabs>
        <w:jc w:val="both"/>
        <w:rPr>
          <w:szCs w:val="20"/>
        </w:rPr>
      </w:pPr>
    </w:p>
    <w:p w:rsidR="00D5459E" w:rsidRPr="00F549B2" w:rsidRDefault="00D5459E" w:rsidP="006510EA">
      <w:pPr>
        <w:tabs>
          <w:tab w:val="left" w:pos="0"/>
          <w:tab w:val="left" w:pos="547"/>
          <w:tab w:val="left" w:pos="936"/>
          <w:tab w:val="left" w:pos="1440"/>
          <w:tab w:val="left" w:pos="1987"/>
        </w:tabs>
        <w:jc w:val="both"/>
        <w:rPr>
          <w:szCs w:val="20"/>
        </w:rPr>
      </w:pPr>
      <w:r w:rsidRPr="00F549B2">
        <w:rPr>
          <w:szCs w:val="20"/>
        </w:rPr>
        <w:t xml:space="preserve">We conducted our audit in accordance with auditing standards generally accepted in the </w:t>
      </w:r>
      <w:r>
        <w:rPr>
          <w:szCs w:val="20"/>
        </w:rPr>
        <w:t>United States of America</w:t>
      </w:r>
      <w:r w:rsidRPr="00F549B2">
        <w:rPr>
          <w:szCs w:val="20"/>
        </w:rPr>
        <w:t xml:space="preserve"> and</w:t>
      </w:r>
      <w:r w:rsidRPr="00F549B2">
        <w:rPr>
          <w:color w:val="000000"/>
          <w:szCs w:val="20"/>
        </w:rPr>
        <w:t xml:space="preserve"> the standards applicable to financial audits contained in the Comptroller General of the </w:t>
      </w:r>
      <w:r>
        <w:rPr>
          <w:color w:val="000000"/>
          <w:szCs w:val="20"/>
        </w:rPr>
        <w:t>United States</w:t>
      </w:r>
      <w:r w:rsidRPr="00F549B2">
        <w:rPr>
          <w:color w:val="000000"/>
          <w:szCs w:val="20"/>
        </w:rPr>
        <w:t xml:space="preserve">’ </w:t>
      </w:r>
      <w:r w:rsidRPr="00F549B2">
        <w:rPr>
          <w:i/>
          <w:iCs/>
          <w:color w:val="000000"/>
          <w:szCs w:val="20"/>
        </w:rPr>
        <w:t>Government Auditing Standards</w:t>
      </w:r>
      <w:r w:rsidRPr="00F549B2">
        <w:rPr>
          <w:color w:val="000000"/>
          <w:szCs w:val="20"/>
        </w:rPr>
        <w:t xml:space="preserve">.  </w:t>
      </w:r>
      <w:r w:rsidRPr="00F549B2">
        <w:rPr>
          <w:szCs w:val="20"/>
        </w:rPr>
        <w:t>Those standards require that we plan and perform the audit to reasonably assure whether the financial statements are free of material misstatement.</w:t>
      </w:r>
      <w:r w:rsidRPr="00EE0122">
        <w:rPr>
          <w:rStyle w:val="EndnoteReference"/>
          <w:sz w:val="24"/>
          <w:szCs w:val="24"/>
        </w:rPr>
        <w:endnoteReference w:id="8"/>
      </w:r>
      <w:r w:rsidRPr="00EE0122">
        <w:rPr>
          <w:sz w:val="24"/>
          <w:szCs w:val="24"/>
          <w:vertAlign w:val="superscript"/>
        </w:rPr>
        <w:t xml:space="preserve"> </w:t>
      </w:r>
      <w:r w:rsidRPr="00F549B2">
        <w:rPr>
          <w:szCs w:val="20"/>
        </w:rPr>
        <w:t xml:space="preserve">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our audit provides a reasonable basis for our opinions.  </w:t>
      </w:r>
    </w:p>
    <w:p w:rsidR="00D5459E" w:rsidRPr="000925F1" w:rsidRDefault="00C72524" w:rsidP="006510EA">
      <w:pPr>
        <w:tabs>
          <w:tab w:val="left" w:pos="0"/>
          <w:tab w:val="left" w:pos="547"/>
          <w:tab w:val="left" w:pos="936"/>
          <w:tab w:val="left" w:pos="1440"/>
          <w:tab w:val="left" w:pos="1987"/>
        </w:tabs>
        <w:rPr>
          <w:szCs w:val="20"/>
          <w:vertAlign w:val="superscript"/>
        </w:rPr>
      </w:pPr>
      <w:fldSimple w:instr=" NOTEREF _Ref306010856 \h  \* MERGEFORMAT ">
        <w:r w:rsidR="000925F1" w:rsidRPr="00DE5BAD">
          <w:rPr>
            <w:szCs w:val="20"/>
            <w:vertAlign w:val="superscript"/>
          </w:rPr>
          <w:t>5</w:t>
        </w:r>
      </w:fldSimple>
    </w:p>
    <w:p w:rsidR="00D5459E" w:rsidRPr="004713DB" w:rsidRDefault="00D5459E" w:rsidP="006510EA">
      <w:pPr>
        <w:tabs>
          <w:tab w:val="left" w:pos="0"/>
          <w:tab w:val="left" w:pos="547"/>
          <w:tab w:val="left" w:pos="936"/>
          <w:tab w:val="left" w:pos="1440"/>
          <w:tab w:val="left" w:pos="1987"/>
        </w:tabs>
        <w:rPr>
          <w:b/>
          <w:color w:val="FF0000"/>
          <w:szCs w:val="20"/>
        </w:rPr>
      </w:pPr>
      <w:r w:rsidRPr="004713DB">
        <w:rPr>
          <w:b/>
          <w:color w:val="FF0000"/>
          <w:szCs w:val="20"/>
        </w:rPr>
        <w:t>USE THE FOLLOWING PARAGRAPH ONLY FOR GOVERNMENTS REQUIRED TO FOLLOW GAAP.</w:t>
      </w:r>
    </w:p>
    <w:p w:rsidR="00D5459E" w:rsidRDefault="00D5459E" w:rsidP="006510EA">
      <w:pPr>
        <w:tabs>
          <w:tab w:val="left" w:pos="0"/>
          <w:tab w:val="left" w:pos="547"/>
          <w:tab w:val="left" w:pos="936"/>
          <w:tab w:val="left" w:pos="1440"/>
          <w:tab w:val="left" w:pos="1987"/>
        </w:tabs>
        <w:jc w:val="both"/>
        <w:rPr>
          <w:szCs w:val="20"/>
          <w:lang w:eastAsia="ja-JP"/>
        </w:rPr>
      </w:pPr>
      <w:r w:rsidRPr="00F549B2">
        <w:rPr>
          <w:szCs w:val="20"/>
          <w:lang w:eastAsia="ja-JP"/>
        </w:rPr>
        <w:t xml:space="preserve">Ohio Administrative Code </w:t>
      </w:r>
      <w:r>
        <w:rPr>
          <w:szCs w:val="20"/>
          <w:lang w:eastAsia="ja-JP"/>
        </w:rPr>
        <w:t>§ </w:t>
      </w:r>
      <w:r w:rsidRPr="00F549B2">
        <w:rPr>
          <w:szCs w:val="20"/>
          <w:lang w:eastAsia="ja-JP"/>
        </w:rPr>
        <w:t>117-2-03 (B) requires the Government to prepare its annual financial report in accordance with accounting principles</w:t>
      </w:r>
      <w:r>
        <w:rPr>
          <w:szCs w:val="20"/>
          <w:lang w:eastAsia="ja-JP"/>
        </w:rPr>
        <w:t xml:space="preserve"> generally accepted in the United States of America. </w:t>
      </w:r>
      <w:r w:rsidRPr="00F549B2">
        <w:rPr>
          <w:szCs w:val="20"/>
          <w:lang w:eastAsia="ja-JP"/>
        </w:rPr>
        <w:t xml:space="preserve">However, as discussed in Note 1, the accompanying financial statements and notes follow the </w:t>
      </w:r>
      <w:r w:rsidRPr="002E0259">
        <w:rPr>
          <w:b/>
          <w:szCs w:val="20"/>
          <w:lang w:eastAsia="ja-JP"/>
        </w:rPr>
        <w:t>modified</w:t>
      </w:r>
      <w:r>
        <w:rPr>
          <w:szCs w:val="20"/>
          <w:lang w:eastAsia="ja-JP"/>
        </w:rPr>
        <w:t xml:space="preserve"> cash accounting basis</w:t>
      </w:r>
      <w:r w:rsidRPr="00F549B2">
        <w:rPr>
          <w:szCs w:val="20"/>
          <w:lang w:eastAsia="ja-JP"/>
        </w:rPr>
        <w:t xml:space="preserve">.  This is a comprehensive </w:t>
      </w:r>
      <w:r>
        <w:rPr>
          <w:szCs w:val="20"/>
          <w:lang w:eastAsia="ja-JP"/>
        </w:rPr>
        <w:t xml:space="preserve">accounting </w:t>
      </w:r>
      <w:r w:rsidRPr="00F549B2">
        <w:rPr>
          <w:szCs w:val="20"/>
          <w:lang w:eastAsia="ja-JP"/>
        </w:rPr>
        <w:t xml:space="preserve">basis other than generally accepted accounting principles.  The accompanying financial statements and notes omit assets, liabilities, fund equities, and disclosures that, while material, </w:t>
      </w:r>
      <w:r>
        <w:rPr>
          <w:szCs w:val="20"/>
          <w:lang w:eastAsia="ja-JP"/>
        </w:rPr>
        <w:t xml:space="preserve">we </w:t>
      </w:r>
      <w:r w:rsidRPr="00F549B2">
        <w:rPr>
          <w:szCs w:val="20"/>
          <w:lang w:eastAsia="ja-JP"/>
        </w:rPr>
        <w:t>cannot determine at this time.</w:t>
      </w:r>
      <w:r>
        <w:rPr>
          <w:szCs w:val="20"/>
          <w:lang w:eastAsia="ja-JP"/>
        </w:rPr>
        <w:t xml:space="preserve">  </w:t>
      </w:r>
    </w:p>
    <w:p w:rsidR="00D5459E" w:rsidRDefault="00D5459E" w:rsidP="006510EA">
      <w:pPr>
        <w:tabs>
          <w:tab w:val="left" w:pos="0"/>
          <w:tab w:val="left" w:pos="547"/>
          <w:tab w:val="left" w:pos="936"/>
          <w:tab w:val="left" w:pos="1440"/>
          <w:tab w:val="left" w:pos="1987"/>
        </w:tabs>
        <w:jc w:val="both"/>
        <w:rPr>
          <w:b/>
          <w:color w:val="FF0000"/>
          <w:szCs w:val="20"/>
          <w:lang w:eastAsia="ja-JP"/>
        </w:rPr>
      </w:pPr>
    </w:p>
    <w:p w:rsidR="00D5459E" w:rsidRPr="004713DB" w:rsidRDefault="00D5459E" w:rsidP="006510EA">
      <w:pPr>
        <w:tabs>
          <w:tab w:val="left" w:pos="0"/>
          <w:tab w:val="left" w:pos="547"/>
          <w:tab w:val="left" w:pos="936"/>
          <w:tab w:val="left" w:pos="1440"/>
          <w:tab w:val="left" w:pos="1987"/>
        </w:tabs>
        <w:jc w:val="both"/>
        <w:rPr>
          <w:b/>
          <w:color w:val="FF0000"/>
          <w:szCs w:val="20"/>
          <w:lang w:eastAsia="ja-JP"/>
        </w:rPr>
      </w:pPr>
      <w:r w:rsidRPr="004713DB">
        <w:rPr>
          <w:b/>
          <w:color w:val="FF0000"/>
          <w:szCs w:val="20"/>
          <w:lang w:eastAsia="ja-JP"/>
        </w:rPr>
        <w:t>TH</w:t>
      </w:r>
      <w:r>
        <w:rPr>
          <w:b/>
          <w:color w:val="FF0000"/>
          <w:szCs w:val="20"/>
          <w:lang w:eastAsia="ja-JP"/>
        </w:rPr>
        <w:t>E</w:t>
      </w:r>
      <w:r w:rsidRPr="004713DB">
        <w:rPr>
          <w:b/>
          <w:color w:val="FF0000"/>
          <w:szCs w:val="20"/>
          <w:lang w:eastAsia="ja-JP"/>
        </w:rPr>
        <w:t xml:space="preserve"> FOLLOWING PARAGRAPH </w:t>
      </w:r>
      <w:r>
        <w:rPr>
          <w:b/>
          <w:color w:val="FF0000"/>
          <w:szCs w:val="20"/>
          <w:lang w:eastAsia="ja-JP"/>
        </w:rPr>
        <w:t xml:space="preserve">REPLACES THE PRECEDING PARAGRAPH, IF THE GOVERNMENT NEED </w:t>
      </w:r>
      <w:r w:rsidRPr="004713DB">
        <w:rPr>
          <w:b/>
          <w:color w:val="FF0000"/>
          <w:szCs w:val="20"/>
          <w:lang w:eastAsia="ja-JP"/>
        </w:rPr>
        <w:t>NOT FOLLOW GAAP:</w:t>
      </w:r>
    </w:p>
    <w:p w:rsidR="00D5459E" w:rsidRPr="00BE7AC7" w:rsidRDefault="00D5459E" w:rsidP="006510EA">
      <w:pPr>
        <w:tabs>
          <w:tab w:val="left" w:pos="0"/>
          <w:tab w:val="left" w:pos="547"/>
          <w:tab w:val="left" w:pos="936"/>
          <w:tab w:val="left" w:pos="1440"/>
          <w:tab w:val="left" w:pos="1987"/>
        </w:tabs>
        <w:jc w:val="both"/>
        <w:rPr>
          <w:b/>
          <w:szCs w:val="20"/>
          <w:lang w:eastAsia="ja-JP"/>
        </w:rPr>
      </w:pPr>
      <w:r>
        <w:rPr>
          <w:szCs w:val="20"/>
          <w:lang w:eastAsia="ja-JP"/>
        </w:rPr>
        <w:t>A</w:t>
      </w:r>
      <w:r w:rsidRPr="00F549B2">
        <w:rPr>
          <w:szCs w:val="20"/>
          <w:lang w:eastAsia="ja-JP"/>
        </w:rPr>
        <w:t xml:space="preserve">s discussed in Note 1, the accompanying financial statements and notes follow the </w:t>
      </w:r>
      <w:r w:rsidRPr="005E57B2">
        <w:rPr>
          <w:b/>
          <w:szCs w:val="20"/>
          <w:lang w:eastAsia="ja-JP"/>
        </w:rPr>
        <w:t>modified</w:t>
      </w:r>
      <w:r>
        <w:rPr>
          <w:szCs w:val="20"/>
          <w:lang w:eastAsia="ja-JP"/>
        </w:rPr>
        <w:t xml:space="preserve"> cash accounting basis</w:t>
      </w:r>
      <w:r w:rsidRPr="00F549B2">
        <w:rPr>
          <w:szCs w:val="20"/>
          <w:lang w:eastAsia="ja-JP"/>
        </w:rPr>
        <w:t xml:space="preserve">.  This is a comprehensive accounting </w:t>
      </w:r>
      <w:r>
        <w:rPr>
          <w:szCs w:val="20"/>
          <w:lang w:eastAsia="ja-JP"/>
        </w:rPr>
        <w:t xml:space="preserve">basis </w:t>
      </w:r>
      <w:r w:rsidRPr="00F549B2">
        <w:rPr>
          <w:szCs w:val="20"/>
          <w:lang w:eastAsia="ja-JP"/>
        </w:rPr>
        <w:t>other than accounting principles</w:t>
      </w:r>
      <w:r>
        <w:rPr>
          <w:szCs w:val="20"/>
          <w:lang w:eastAsia="ja-JP"/>
        </w:rPr>
        <w:t xml:space="preserve"> generally accepted in the United States of America</w:t>
      </w:r>
      <w:r w:rsidRPr="00F549B2">
        <w:rPr>
          <w:szCs w:val="20"/>
          <w:lang w:eastAsia="ja-JP"/>
        </w:rPr>
        <w:t>.</w:t>
      </w:r>
    </w:p>
    <w:p w:rsidR="00D5459E" w:rsidRPr="00F549B2" w:rsidRDefault="00D5459E" w:rsidP="006510EA">
      <w:pPr>
        <w:tabs>
          <w:tab w:val="left" w:pos="0"/>
          <w:tab w:val="left" w:pos="547"/>
          <w:tab w:val="left" w:pos="936"/>
          <w:tab w:val="left" w:pos="1440"/>
          <w:tab w:val="left" w:pos="1987"/>
        </w:tabs>
        <w:rPr>
          <w:szCs w:val="20"/>
        </w:rPr>
      </w:pPr>
    </w:p>
    <w:p w:rsidR="00D5459E" w:rsidRDefault="00D5459E" w:rsidP="006510EA">
      <w:pPr>
        <w:widowControl/>
        <w:tabs>
          <w:tab w:val="left" w:pos="0"/>
          <w:tab w:val="left" w:pos="547"/>
          <w:tab w:val="left" w:pos="936"/>
          <w:tab w:val="left" w:pos="1440"/>
          <w:tab w:val="left" w:pos="1987"/>
        </w:tabs>
        <w:jc w:val="both"/>
        <w:rPr>
          <w:szCs w:val="20"/>
        </w:rPr>
      </w:pPr>
      <w:r w:rsidRPr="00F549B2">
        <w:rPr>
          <w:szCs w:val="20"/>
        </w:rPr>
        <w:t xml:space="preserve">In our opinion, the financial statements referred to above present fairly, in all material respects, the respective </w:t>
      </w:r>
      <w:r w:rsidRPr="002E0259">
        <w:rPr>
          <w:b/>
          <w:szCs w:val="20"/>
        </w:rPr>
        <w:t>modified</w:t>
      </w:r>
      <w:r>
        <w:rPr>
          <w:szCs w:val="20"/>
        </w:rPr>
        <w:t xml:space="preserve"> cash </w:t>
      </w:r>
      <w:r w:rsidRPr="00F549B2">
        <w:rPr>
          <w:szCs w:val="20"/>
        </w:rPr>
        <w:t xml:space="preserve">financial position of the governmental activities, the business-type activities, the </w:t>
      </w:r>
      <w:r w:rsidRPr="00001845">
        <w:rPr>
          <w:b/>
          <w:szCs w:val="20"/>
        </w:rPr>
        <w:t>[aggregate]</w:t>
      </w:r>
      <w:r w:rsidRPr="00F549B2">
        <w:rPr>
          <w:szCs w:val="20"/>
        </w:rPr>
        <w:t xml:space="preserve"> discretely presented component unit</w:t>
      </w:r>
      <w:r>
        <w:rPr>
          <w:b/>
          <w:szCs w:val="20"/>
        </w:rPr>
        <w:t>(s)</w:t>
      </w:r>
      <w:r w:rsidRPr="00001845">
        <w:rPr>
          <w:b/>
          <w:szCs w:val="20"/>
        </w:rPr>
        <w:t>,</w:t>
      </w:r>
      <w:r w:rsidRPr="00F549B2">
        <w:rPr>
          <w:szCs w:val="20"/>
        </w:rPr>
        <w:t xml:space="preserve"> each major fund, and the aggregate remaining fund information of [ENTITY NAME], [COUNTY NAME] County, Ohio, as of [FYE DATE], and the respective changes in </w:t>
      </w:r>
      <w:r w:rsidRPr="002E0259">
        <w:rPr>
          <w:b/>
          <w:szCs w:val="20"/>
        </w:rPr>
        <w:t xml:space="preserve">modified </w:t>
      </w:r>
      <w:r>
        <w:rPr>
          <w:szCs w:val="20"/>
        </w:rPr>
        <w:t xml:space="preserve">cash </w:t>
      </w:r>
      <w:r w:rsidRPr="00F549B2">
        <w:rPr>
          <w:szCs w:val="20"/>
        </w:rPr>
        <w:t>financial position</w:t>
      </w:r>
      <w:r w:rsidR="00FA77CA" w:rsidRPr="00593E6E">
        <w:rPr>
          <w:b/>
        </w:rPr>
        <w:t>,</w:t>
      </w:r>
      <w:r w:rsidR="00FA77CA" w:rsidRPr="00593E6E">
        <w:rPr>
          <w:rStyle w:val="EndnoteReference"/>
        </w:rPr>
        <w:endnoteReference w:id="9"/>
      </w:r>
      <w:r w:rsidR="00593E6E" w:rsidRPr="00593E6E">
        <w:rPr>
          <w:b/>
        </w:rPr>
        <w:t xml:space="preserve"> </w:t>
      </w:r>
      <w:r w:rsidR="00FA77CA" w:rsidRPr="00593E6E">
        <w:t xml:space="preserve">thereof </w:t>
      </w:r>
      <w:r w:rsidR="00FA77CA" w:rsidRPr="00593E6E">
        <w:rPr>
          <w:color w:val="000000"/>
        </w:rPr>
        <w:t xml:space="preserve">and the </w:t>
      </w:r>
      <w:r w:rsidR="00FA77CA" w:rsidRPr="00593E6E">
        <w:rPr>
          <w:b/>
          <w:color w:val="000000"/>
        </w:rPr>
        <w:t>respective</w:t>
      </w:r>
      <w:r w:rsidR="00FA77CA" w:rsidRPr="00593E6E">
        <w:rPr>
          <w:color w:val="000000"/>
        </w:rPr>
        <w:t xml:space="preserve">&lt;&lt;DELETE IF ONLY ONE BUDGETARY FUND COMPARISON </w:t>
      </w:r>
      <w:r w:rsidRPr="00593E6E">
        <w:rPr>
          <w:szCs w:val="20"/>
        </w:rPr>
        <w:t>budget</w:t>
      </w:r>
      <w:r w:rsidRPr="00F549B2">
        <w:rPr>
          <w:szCs w:val="20"/>
        </w:rPr>
        <w:t>ary comparison for the General and [list major special revenue funds]</w:t>
      </w:r>
      <w:r w:rsidRPr="00F549B2">
        <w:rPr>
          <w:szCs w:val="20"/>
          <w:vertAlign w:val="superscript"/>
        </w:rPr>
        <w:endnoteReference w:id="10"/>
      </w:r>
      <w:r w:rsidRPr="00F549B2">
        <w:rPr>
          <w:szCs w:val="20"/>
        </w:rPr>
        <w:t xml:space="preserve"> thereof for the year(s) then ended in conformity with the </w:t>
      </w:r>
      <w:r w:rsidR="0061225D">
        <w:rPr>
          <w:szCs w:val="20"/>
        </w:rPr>
        <w:t xml:space="preserve">accounting </w:t>
      </w:r>
      <w:r w:rsidRPr="00F549B2">
        <w:rPr>
          <w:szCs w:val="20"/>
        </w:rPr>
        <w:t>basis Note 1 describes.</w:t>
      </w:r>
    </w:p>
    <w:p w:rsidR="00D5459E" w:rsidRDefault="00D5459E" w:rsidP="006510EA">
      <w:pPr>
        <w:widowControl/>
        <w:tabs>
          <w:tab w:val="left" w:pos="0"/>
          <w:tab w:val="left" w:pos="547"/>
          <w:tab w:val="left" w:pos="936"/>
          <w:tab w:val="left" w:pos="1440"/>
          <w:tab w:val="left" w:pos="1987"/>
        </w:tabs>
        <w:jc w:val="both"/>
        <w:rPr>
          <w:szCs w:val="20"/>
        </w:rPr>
      </w:pPr>
    </w:p>
    <w:p w:rsidR="00D5459E" w:rsidRDefault="00D5459E" w:rsidP="006510EA">
      <w:pPr>
        <w:widowControl/>
        <w:tabs>
          <w:tab w:val="left" w:pos="0"/>
          <w:tab w:val="left" w:pos="547"/>
          <w:tab w:val="left" w:pos="936"/>
          <w:tab w:val="left" w:pos="1440"/>
          <w:tab w:val="left" w:pos="1987"/>
        </w:tabs>
        <w:jc w:val="both"/>
        <w:rPr>
          <w:szCs w:val="20"/>
        </w:rPr>
      </w:pPr>
      <w:r w:rsidRPr="004713DB">
        <w:rPr>
          <w:b/>
          <w:color w:val="FF0000"/>
          <w:szCs w:val="20"/>
        </w:rPr>
        <w:t>USE THE FOLLOWING PARAGRAPH</w:t>
      </w:r>
      <w:r>
        <w:rPr>
          <w:b/>
          <w:color w:val="FF0000"/>
          <w:szCs w:val="20"/>
        </w:rPr>
        <w:t xml:space="preserve"> THE FIRST YEAR THE GOVERNMENT </w:t>
      </w:r>
      <w:r w:rsidR="0061225D">
        <w:rPr>
          <w:b/>
          <w:color w:val="FF0000"/>
          <w:szCs w:val="20"/>
        </w:rPr>
        <w:t>ADOPTS OCBOA</w:t>
      </w:r>
      <w:r>
        <w:rPr>
          <w:b/>
          <w:color w:val="FF0000"/>
          <w:szCs w:val="20"/>
        </w:rPr>
        <w:t>:</w:t>
      </w:r>
    </w:p>
    <w:p w:rsidR="00D5459E" w:rsidRPr="00F549B2" w:rsidRDefault="00D5459E" w:rsidP="006510EA">
      <w:pPr>
        <w:widowControl/>
        <w:tabs>
          <w:tab w:val="left" w:pos="0"/>
          <w:tab w:val="left" w:pos="547"/>
          <w:tab w:val="left" w:pos="936"/>
          <w:tab w:val="left" w:pos="1440"/>
          <w:tab w:val="left" w:pos="1987"/>
        </w:tabs>
        <w:jc w:val="both"/>
        <w:rPr>
          <w:szCs w:val="20"/>
        </w:rPr>
      </w:pPr>
      <w:r>
        <w:rPr>
          <w:szCs w:val="20"/>
        </w:rPr>
        <w:t xml:space="preserve">For the year ended December 31, 20XX, the Government revised its financial presentation comparable to the requirements of Governmental Accounting Standard No. 34, </w:t>
      </w:r>
      <w:r w:rsidRPr="006A7A4F">
        <w:rPr>
          <w:i/>
          <w:szCs w:val="20"/>
        </w:rPr>
        <w:t>Basic Financial Statements—and Management’s Discussion and Analysis—for State and Local Governments</w:t>
      </w:r>
      <w:r>
        <w:rPr>
          <w:szCs w:val="20"/>
        </w:rPr>
        <w:t xml:space="preserve">.  </w:t>
      </w:r>
    </w:p>
    <w:p w:rsidR="00D5459E" w:rsidRDefault="00D5459E" w:rsidP="006510EA">
      <w:pPr>
        <w:tabs>
          <w:tab w:val="left" w:pos="0"/>
          <w:tab w:val="left" w:pos="547"/>
          <w:tab w:val="left" w:pos="936"/>
          <w:tab w:val="left" w:pos="1440"/>
          <w:tab w:val="left" w:pos="1987"/>
        </w:tabs>
        <w:jc w:val="both"/>
        <w:rPr>
          <w:color w:val="000000"/>
          <w:szCs w:val="20"/>
        </w:rPr>
      </w:pPr>
      <w:bookmarkStart w:id="2" w:name="OLE_LINK1"/>
    </w:p>
    <w:p w:rsidR="005926A4" w:rsidRPr="005926A4" w:rsidRDefault="005926A4" w:rsidP="005926A4">
      <w:pPr>
        <w:widowControl/>
        <w:tabs>
          <w:tab w:val="left" w:pos="0"/>
          <w:tab w:val="left" w:pos="547"/>
          <w:tab w:val="left" w:pos="936"/>
          <w:tab w:val="left" w:pos="1440"/>
          <w:tab w:val="left" w:pos="1987"/>
        </w:tabs>
        <w:jc w:val="both"/>
        <w:rPr>
          <w:color w:val="000000"/>
          <w:szCs w:val="20"/>
          <w:highlight w:val="cyan"/>
        </w:rPr>
      </w:pPr>
      <w:r w:rsidRPr="005926A4">
        <w:rPr>
          <w:b/>
          <w:color w:val="FF0000"/>
          <w:szCs w:val="20"/>
          <w:highlight w:val="cyan"/>
        </w:rPr>
        <w:t>USE THE FOLLOWING PARAGRAPH THE FIRST YEAR THE GOVERNMENT ADOPTS GASB54:</w:t>
      </w:r>
    </w:p>
    <w:p w:rsidR="005926A4" w:rsidRPr="00F52BD7" w:rsidRDefault="005926A4" w:rsidP="005926A4">
      <w:pPr>
        <w:widowControl/>
        <w:tabs>
          <w:tab w:val="left" w:pos="-1440"/>
          <w:tab w:val="left" w:pos="-720"/>
          <w:tab w:val="left" w:pos="0"/>
          <w:tab w:val="left" w:pos="720"/>
          <w:tab w:val="left" w:pos="1440"/>
          <w:tab w:val="left" w:pos="2160"/>
          <w:tab w:val="left" w:pos="2880"/>
          <w:tab w:val="left" w:pos="3600"/>
          <w:tab w:val="left" w:pos="4140"/>
        </w:tabs>
        <w:jc w:val="both"/>
        <w:rPr>
          <w:b/>
          <w:bCs/>
          <w:color w:val="FF0000"/>
          <w:szCs w:val="20"/>
        </w:rPr>
      </w:pPr>
      <w:r w:rsidRPr="007A3EE5">
        <w:rPr>
          <w:szCs w:val="20"/>
        </w:rPr>
        <w:t>As described in Note XX,</w:t>
      </w:r>
      <w:r w:rsidRPr="007A3EE5">
        <w:rPr>
          <w:color w:val="FF0000"/>
          <w:szCs w:val="20"/>
        </w:rPr>
        <w:t xml:space="preserve"> </w:t>
      </w:r>
      <w:r w:rsidRPr="007A3EE5">
        <w:rPr>
          <w:szCs w:val="20"/>
        </w:rPr>
        <w:t>during 2011 the [ENTITY NAME]</w:t>
      </w:r>
      <w:r w:rsidRPr="007A3EE5">
        <w:rPr>
          <w:color w:val="FF0000"/>
          <w:szCs w:val="20"/>
        </w:rPr>
        <w:t xml:space="preserve"> </w:t>
      </w:r>
      <w:r w:rsidRPr="007A3EE5">
        <w:rPr>
          <w:szCs w:val="20"/>
        </w:rPr>
        <w:t xml:space="preserve">adopted Governmental Accounting Standards Board Statement No. 54, </w:t>
      </w:r>
      <w:r w:rsidRPr="007A3EE5">
        <w:rPr>
          <w:i/>
          <w:szCs w:val="20"/>
        </w:rPr>
        <w:t>Fund Balance Reporting and Governmental Fund Type Definitions</w:t>
      </w:r>
      <w:r w:rsidRPr="007A3EE5">
        <w:rPr>
          <w:szCs w:val="20"/>
        </w:rPr>
        <w:t>.</w:t>
      </w:r>
    </w:p>
    <w:p w:rsidR="005926A4" w:rsidRPr="00F549B2" w:rsidRDefault="005926A4" w:rsidP="006510EA">
      <w:pPr>
        <w:tabs>
          <w:tab w:val="left" w:pos="0"/>
          <w:tab w:val="left" w:pos="547"/>
          <w:tab w:val="left" w:pos="936"/>
          <w:tab w:val="left" w:pos="1440"/>
          <w:tab w:val="left" w:pos="1987"/>
        </w:tabs>
        <w:jc w:val="both"/>
        <w:rPr>
          <w:color w:val="000000"/>
          <w:szCs w:val="20"/>
        </w:rPr>
      </w:pPr>
    </w:p>
    <w:p w:rsidR="00D5459E" w:rsidRPr="00F549B2" w:rsidRDefault="00D5459E" w:rsidP="006510EA">
      <w:pPr>
        <w:tabs>
          <w:tab w:val="left" w:pos="0"/>
          <w:tab w:val="left" w:pos="547"/>
          <w:tab w:val="left" w:pos="936"/>
          <w:tab w:val="left" w:pos="1440"/>
          <w:tab w:val="left" w:pos="1987"/>
        </w:tabs>
        <w:jc w:val="both"/>
        <w:rPr>
          <w:color w:val="000000"/>
          <w:szCs w:val="20"/>
        </w:rPr>
      </w:pPr>
      <w:r w:rsidRPr="00F549B2">
        <w:rPr>
          <w:color w:val="000000"/>
          <w:szCs w:val="20"/>
        </w:rPr>
        <w:t xml:space="preserve">In accordance with </w:t>
      </w:r>
      <w:r w:rsidRPr="00F549B2">
        <w:rPr>
          <w:rStyle w:val="footnoteref"/>
          <w:i/>
          <w:iCs/>
          <w:color w:val="000000"/>
          <w:szCs w:val="20"/>
        </w:rPr>
        <w:t>Government Auditing Standards</w:t>
      </w:r>
      <w:r w:rsidRPr="00F549B2">
        <w:rPr>
          <w:rStyle w:val="footnoteref"/>
          <w:color w:val="000000"/>
          <w:szCs w:val="20"/>
        </w:rPr>
        <w:t xml:space="preserve">, we have also issued our report dated </w:t>
      </w:r>
      <w:r w:rsidRPr="00F549B2">
        <w:rPr>
          <w:szCs w:val="20"/>
        </w:rPr>
        <w:t>[REPORT DATE],</w:t>
      </w:r>
      <w:r w:rsidRPr="00F549B2">
        <w:rPr>
          <w:color w:val="000000"/>
          <w:szCs w:val="20"/>
        </w:rPr>
        <w:t xml:space="preserve"> on our consideration of the Government’s internal control over financial reporting and our tests of its compliance with certain provisions of laws, regulations, contracts and grant agreements and other matters.  </w:t>
      </w:r>
      <w:r w:rsidRPr="00BD0EA3">
        <w:rPr>
          <w:szCs w:val="20"/>
        </w:rPr>
        <w:t>While we did not opine on the internal control over financial reporting or on compliance, t</w:t>
      </w:r>
      <w:r w:rsidRPr="00BD0EA3">
        <w:rPr>
          <w:color w:val="000000"/>
          <w:szCs w:val="20"/>
        </w:rPr>
        <w:t>hat report describes the scope of our testing of internal control over financial reporting and compliance</w:t>
      </w:r>
      <w:r>
        <w:rPr>
          <w:color w:val="000000"/>
          <w:szCs w:val="20"/>
        </w:rPr>
        <w:t>,</w:t>
      </w:r>
      <w:r w:rsidRPr="00BD0EA3">
        <w:rPr>
          <w:color w:val="000000"/>
          <w:szCs w:val="20"/>
        </w:rPr>
        <w:t xml:space="preserve"> and the results of </w:t>
      </w:r>
      <w:r w:rsidRPr="00BD0EA3">
        <w:rPr>
          <w:szCs w:val="20"/>
        </w:rPr>
        <w:t xml:space="preserve">that testing.  </w:t>
      </w:r>
      <w:r w:rsidRPr="00D54E2E">
        <w:t xml:space="preserve"> </w:t>
      </w:r>
      <w:r w:rsidRPr="00F549B2">
        <w:rPr>
          <w:color w:val="000000"/>
          <w:szCs w:val="20"/>
        </w:rPr>
        <w:t xml:space="preserve">That report is an integral part of an audit performed in accordance with </w:t>
      </w:r>
      <w:r w:rsidRPr="00F549B2">
        <w:rPr>
          <w:i/>
          <w:iCs/>
          <w:color w:val="000000"/>
          <w:szCs w:val="20"/>
        </w:rPr>
        <w:t>Government Auditing Standards.</w:t>
      </w:r>
      <w:r w:rsidRPr="00F549B2">
        <w:rPr>
          <w:color w:val="000000"/>
          <w:szCs w:val="20"/>
        </w:rPr>
        <w:t xml:space="preserve">  You should read it in conjunction with this report in assessing the results of our audit.</w:t>
      </w:r>
    </w:p>
    <w:p w:rsidR="00FA77CA" w:rsidRPr="00593E6E" w:rsidRDefault="00FA77CA" w:rsidP="00FA77CA">
      <w:pPr>
        <w:tabs>
          <w:tab w:val="left" w:pos="0"/>
          <w:tab w:val="left" w:pos="547"/>
          <w:tab w:val="left" w:pos="936"/>
          <w:tab w:val="left" w:pos="1440"/>
          <w:tab w:val="left" w:pos="1987"/>
        </w:tabs>
        <w:jc w:val="both"/>
      </w:pPr>
    </w:p>
    <w:p w:rsidR="00D5459E" w:rsidRPr="00593E6E" w:rsidRDefault="0061225D" w:rsidP="006510EA">
      <w:pPr>
        <w:tabs>
          <w:tab w:val="left" w:pos="0"/>
          <w:tab w:val="left" w:pos="547"/>
          <w:tab w:val="left" w:pos="936"/>
          <w:tab w:val="left" w:pos="1440"/>
          <w:tab w:val="left" w:pos="1987"/>
        </w:tabs>
        <w:rPr>
          <w:b/>
          <w:color w:val="FF0000"/>
          <w:szCs w:val="20"/>
        </w:rPr>
      </w:pPr>
      <w:r w:rsidRPr="00593E6E">
        <w:rPr>
          <w:b/>
          <w:color w:val="FF0000"/>
          <w:szCs w:val="20"/>
        </w:rPr>
        <w:t xml:space="preserve">Use the following paragraph </w:t>
      </w:r>
      <w:r w:rsidRPr="00DC199F">
        <w:rPr>
          <w:b/>
          <w:color w:val="FF0000"/>
          <w:szCs w:val="20"/>
        </w:rPr>
        <w:t>when the auditee presents MD&amp;A</w:t>
      </w:r>
      <w:r>
        <w:rPr>
          <w:b/>
          <w:color w:val="FF0000"/>
          <w:szCs w:val="20"/>
        </w:rPr>
        <w:t xml:space="preserve"> or </w:t>
      </w:r>
      <w:r w:rsidRPr="00593E6E">
        <w:rPr>
          <w:b/>
          <w:color w:val="FF0000"/>
          <w:szCs w:val="20"/>
        </w:rPr>
        <w:t>the schedule of federal awards expenditure (SFAE</w:t>
      </w:r>
      <w:r w:rsidR="00981831">
        <w:rPr>
          <w:b/>
          <w:color w:val="FF0000"/>
          <w:szCs w:val="20"/>
        </w:rPr>
        <w:t>)</w:t>
      </w:r>
      <w:r>
        <w:rPr>
          <w:b/>
          <w:color w:val="FF0000"/>
          <w:szCs w:val="20"/>
        </w:rPr>
        <w:t xml:space="preserve"> opinion is attached as supplemental info to the statements.  (Delete if presented in the A-</w:t>
      </w:r>
      <w:r w:rsidRPr="00593E6E">
        <w:rPr>
          <w:b/>
          <w:color w:val="FF0000"/>
          <w:szCs w:val="20"/>
        </w:rPr>
        <w:t>133 report letter)</w:t>
      </w:r>
      <w:r w:rsidR="00FB0523">
        <w:rPr>
          <w:b/>
          <w:color w:val="FF0000"/>
          <w:szCs w:val="20"/>
        </w:rPr>
        <w:t xml:space="preserve">. Note: </w:t>
      </w:r>
      <w:r w:rsidR="00FB0523" w:rsidRPr="00DC199F">
        <w:rPr>
          <w:b/>
          <w:color w:val="FF0000"/>
          <w:szCs w:val="20"/>
        </w:rPr>
        <w:t>If the opinion date on th</w:t>
      </w:r>
      <w:r w:rsidR="00FB0523">
        <w:rPr>
          <w:b/>
          <w:color w:val="FF0000"/>
          <w:szCs w:val="20"/>
        </w:rPr>
        <w:t>e SFAE</w:t>
      </w:r>
      <w:r w:rsidR="00FB0523" w:rsidRPr="00DC199F">
        <w:rPr>
          <w:b/>
          <w:color w:val="FF0000"/>
          <w:szCs w:val="20"/>
        </w:rPr>
        <w:t xml:space="preserve"> schedule is later than the financial opinion, revise this paragraph per example 9 in the A-133 report shell</w:t>
      </w:r>
      <w:r w:rsidR="00FB0523">
        <w:rPr>
          <w:b/>
          <w:color w:val="FF0000"/>
          <w:szCs w:val="20"/>
        </w:rPr>
        <w:t>.</w:t>
      </w:r>
      <w:r w:rsidRPr="00593E6E">
        <w:rPr>
          <w:b/>
          <w:color w:val="FF0000"/>
          <w:szCs w:val="20"/>
        </w:rPr>
        <w:t xml:space="preserve"> </w:t>
      </w:r>
    </w:p>
    <w:p w:rsidR="00400929" w:rsidRPr="00593E6E" w:rsidRDefault="00400929" w:rsidP="006510EA">
      <w:pPr>
        <w:tabs>
          <w:tab w:val="left" w:pos="0"/>
          <w:tab w:val="left" w:pos="547"/>
          <w:tab w:val="left" w:pos="936"/>
          <w:tab w:val="left" w:pos="1440"/>
          <w:tab w:val="left" w:pos="1987"/>
        </w:tabs>
        <w:rPr>
          <w:b/>
          <w:color w:val="FF0000"/>
          <w:szCs w:val="20"/>
        </w:rPr>
      </w:pPr>
    </w:p>
    <w:p w:rsidR="00400929" w:rsidRPr="00EE2ECE" w:rsidRDefault="006E7FE0" w:rsidP="00DE5BAD">
      <w:pPr>
        <w:jc w:val="both"/>
      </w:pPr>
      <w:r w:rsidRPr="00DC199F">
        <w:t xml:space="preserve">We conducted our audit to opine on the Government’s financial statements taken as a whole.  </w:t>
      </w:r>
      <w:r w:rsidR="00133B48" w:rsidRPr="00DC199F">
        <w:t xml:space="preserve">Management’s Discussion &amp; Analysis includes </w:t>
      </w:r>
      <w:r w:rsidRPr="00DC199F">
        <w:t>tables of net assets, changes in net assets, governmental activities</w:t>
      </w:r>
      <w:r w:rsidR="00133B48" w:rsidRPr="00DC199F">
        <w:t xml:space="preserve"> and long-term debt</w:t>
      </w:r>
      <w:r w:rsidRPr="00DC199F">
        <w:t xml:space="preserve"> </w:t>
      </w:r>
      <w:r w:rsidRPr="00DC199F">
        <w:rPr>
          <w:i/>
        </w:rPr>
        <w:t>[&lt;&lt;modify titles as needed]</w:t>
      </w:r>
      <w:r w:rsidRPr="00DC199F">
        <w:t xml:space="preserve">.  </w:t>
      </w:r>
      <w:r w:rsidRPr="00DC199F">
        <w:rPr>
          <w:b/>
        </w:rPr>
        <w:t xml:space="preserve">The federal awards expenditure schedule (the Schedule) </w:t>
      </w:r>
      <w:r w:rsidR="00133B48" w:rsidRPr="00DC199F">
        <w:rPr>
          <w:b/>
        </w:rPr>
        <w:t xml:space="preserve">is </w:t>
      </w:r>
      <w:r w:rsidRPr="00DC199F">
        <w:rPr>
          <w:b/>
        </w:rPr>
        <w:t xml:space="preserve">required by the U.S. Office of Management and Budget Circular A-133, </w:t>
      </w:r>
      <w:r w:rsidRPr="00DC199F">
        <w:rPr>
          <w:rStyle w:val="footnoteref"/>
          <w:b/>
          <w:i/>
          <w:iCs/>
        </w:rPr>
        <w:t>Audits of States, Local Governments, and Non-Profit Organizations</w:t>
      </w:r>
      <w:r w:rsidR="00D63B58" w:rsidRPr="00DC199F">
        <w:rPr>
          <w:rStyle w:val="footnoteref"/>
          <w:b/>
          <w:i/>
          <w:iCs/>
        </w:rPr>
        <w:t>.</w:t>
      </w:r>
      <w:r w:rsidR="00D63B58" w:rsidRPr="00DC199F">
        <w:rPr>
          <w:rStyle w:val="footnoteref"/>
          <w:b/>
          <w:iCs/>
        </w:rPr>
        <w:t xml:space="preserve"> </w:t>
      </w:r>
      <w:r w:rsidRPr="00DC199F">
        <w:rPr>
          <w:lang w:eastAsia="ja-JP"/>
        </w:rPr>
        <w:t xml:space="preserve">These tables </w:t>
      </w:r>
      <w:r w:rsidRPr="00DC199F">
        <w:rPr>
          <w:b/>
          <w:lang w:eastAsia="ja-JP"/>
        </w:rPr>
        <w:t>[and the S</w:t>
      </w:r>
      <w:r w:rsidRPr="00DC199F">
        <w:rPr>
          <w:b/>
        </w:rPr>
        <w:t>chedule]</w:t>
      </w:r>
      <w:r w:rsidRPr="00DC199F">
        <w:t xml:space="preserve"> </w:t>
      </w:r>
      <w:r w:rsidR="00133B48" w:rsidRPr="00DC199F">
        <w:t xml:space="preserve">provide additional information, but </w:t>
      </w:r>
      <w:r w:rsidRPr="00DC199F">
        <w:t>are</w:t>
      </w:r>
      <w:r w:rsidRPr="00DC199F">
        <w:rPr>
          <w:lang w:eastAsia="ja-JP"/>
        </w:rPr>
        <w:t xml:space="preserve"> not part of the basic financial statements.  However these tables </w:t>
      </w:r>
      <w:r w:rsidRPr="00DC199F">
        <w:rPr>
          <w:b/>
          <w:lang w:eastAsia="ja-JP"/>
        </w:rPr>
        <w:t>[and the Schedule]</w:t>
      </w:r>
      <w:r w:rsidRPr="00DC199F">
        <w:rPr>
          <w:lang w:eastAsia="ja-JP"/>
        </w:rPr>
        <w:t xml:space="preserve"> are management’s responsibility, and were derived from and relate directly to the underlying accounting and other records used to prepare the basic financial statements.  These tables </w:t>
      </w:r>
      <w:r w:rsidRPr="00DC199F">
        <w:rPr>
          <w:b/>
          <w:lang w:eastAsia="ja-JP"/>
        </w:rPr>
        <w:t xml:space="preserve">[and the </w:t>
      </w:r>
      <w:r w:rsidRPr="00DC199F">
        <w:rPr>
          <w:b/>
        </w:rPr>
        <w:t>schedule]</w:t>
      </w:r>
      <w:r w:rsidRPr="00DC199F">
        <w:t xml:space="preserve"> were subject to the auditing procedures we applied to the basic financial statements.  We also </w:t>
      </w:r>
      <w:r w:rsidRPr="00DC199F">
        <w:rPr>
          <w:lang w:eastAsia="ja-JP"/>
        </w:rPr>
        <w:t>applied certain additional procedures, including comparing and reconciling this information directly to the underlying accounting and other records used to prepare the basic financial statements or to the basic financial statements themselves, in accordance with auditing standards generally accepted in the United States of America.</w:t>
      </w:r>
      <w:r w:rsidRPr="00DC199F">
        <w:t xml:space="preserve">  In our opinion, this information is fairly stated in all material respects in relation to the basic financial statements taken as a whole</w:t>
      </w:r>
      <w:r w:rsidRPr="00DC199F">
        <w:rPr>
          <w:color w:val="000000"/>
        </w:rPr>
        <w:t xml:space="preserve">. </w:t>
      </w:r>
      <w:r w:rsidR="00133B48" w:rsidRPr="00DC199F">
        <w:rPr>
          <w:color w:val="000000"/>
        </w:rPr>
        <w:t xml:space="preserve"> </w:t>
      </w:r>
      <w:r w:rsidR="007E777D" w:rsidRPr="00DC199F">
        <w:rPr>
          <w:color w:val="000000"/>
        </w:rPr>
        <w:t xml:space="preserve">Other than </w:t>
      </w:r>
      <w:r w:rsidR="00B2727E" w:rsidRPr="00DC199F">
        <w:rPr>
          <w:color w:val="000000"/>
        </w:rPr>
        <w:t xml:space="preserve">the aforementioned </w:t>
      </w:r>
      <w:r w:rsidR="00133B48" w:rsidRPr="00DC199F">
        <w:rPr>
          <w:color w:val="000000"/>
        </w:rPr>
        <w:t xml:space="preserve">procedures </w:t>
      </w:r>
      <w:r w:rsidR="00B2727E" w:rsidRPr="00DC199F">
        <w:rPr>
          <w:color w:val="000000"/>
        </w:rPr>
        <w:t xml:space="preserve">applied </w:t>
      </w:r>
      <w:r w:rsidR="00133B48" w:rsidRPr="00DC199F">
        <w:rPr>
          <w:color w:val="000000"/>
        </w:rPr>
        <w:t xml:space="preserve">to the tables, we applied no procedures to any other information in Management’s Discussion &amp; Analysis, and </w:t>
      </w:r>
      <w:r w:rsidR="00195843" w:rsidRPr="00DC199F">
        <w:rPr>
          <w:color w:val="000000"/>
        </w:rPr>
        <w:t xml:space="preserve">we </w:t>
      </w:r>
      <w:r w:rsidR="00133B48" w:rsidRPr="00DC199F">
        <w:rPr>
          <w:color w:val="000000"/>
        </w:rPr>
        <w:t>express no</w:t>
      </w:r>
      <w:r w:rsidR="007E777D" w:rsidRPr="00DC199F">
        <w:rPr>
          <w:color w:val="000000"/>
        </w:rPr>
        <w:t xml:space="preserve"> opinion or </w:t>
      </w:r>
      <w:r w:rsidR="00195843" w:rsidRPr="00DC199F">
        <w:rPr>
          <w:color w:val="000000"/>
        </w:rPr>
        <w:t xml:space="preserve">any </w:t>
      </w:r>
      <w:r w:rsidR="007E777D" w:rsidRPr="00DC199F">
        <w:rPr>
          <w:color w:val="000000"/>
        </w:rPr>
        <w:t xml:space="preserve">other assurance </w:t>
      </w:r>
      <w:r w:rsidR="00133B48" w:rsidRPr="00DC199F">
        <w:rPr>
          <w:color w:val="000000"/>
        </w:rPr>
        <w:t xml:space="preserve">on it. </w:t>
      </w:r>
      <w:r w:rsidR="00DE5BAD" w:rsidRPr="00DC199F">
        <w:rPr>
          <w:rStyle w:val="EndnoteReference"/>
          <w:b/>
        </w:rPr>
        <w:endnoteReference w:id="11"/>
      </w:r>
      <w:r w:rsidR="00DE5BAD" w:rsidRPr="00DC199F">
        <w:rPr>
          <w:b/>
          <w:color w:val="000000"/>
          <w:vertAlign w:val="superscript"/>
        </w:rPr>
        <w:t>,</w:t>
      </w:r>
      <w:r w:rsidR="00DE5BAD" w:rsidRPr="00DC199F">
        <w:rPr>
          <w:b/>
          <w:color w:val="000000"/>
        </w:rPr>
        <w:t xml:space="preserve"> </w:t>
      </w:r>
      <w:r w:rsidR="00400929" w:rsidRPr="00DC199F">
        <w:rPr>
          <w:rStyle w:val="EndnoteReference"/>
          <w:b/>
          <w:color w:val="000000"/>
        </w:rPr>
        <w:endnoteReference w:id="12"/>
      </w:r>
    </w:p>
    <w:p w:rsidR="00400929" w:rsidRPr="00733CCA" w:rsidRDefault="00400929" w:rsidP="006510EA">
      <w:pPr>
        <w:tabs>
          <w:tab w:val="left" w:pos="0"/>
          <w:tab w:val="left" w:pos="547"/>
          <w:tab w:val="left" w:pos="936"/>
          <w:tab w:val="left" w:pos="1440"/>
          <w:tab w:val="left" w:pos="1987"/>
        </w:tabs>
        <w:rPr>
          <w:szCs w:val="20"/>
        </w:rPr>
      </w:pPr>
    </w:p>
    <w:p w:rsidR="00400929" w:rsidRPr="00F549B2" w:rsidRDefault="00400929" w:rsidP="006510EA">
      <w:pPr>
        <w:tabs>
          <w:tab w:val="left" w:pos="0"/>
          <w:tab w:val="left" w:pos="547"/>
          <w:tab w:val="left" w:pos="936"/>
          <w:tab w:val="left" w:pos="1440"/>
          <w:tab w:val="left" w:pos="1987"/>
        </w:tabs>
        <w:rPr>
          <w:szCs w:val="20"/>
        </w:rPr>
      </w:pPr>
    </w:p>
    <w:p w:rsidR="00D5459E" w:rsidRPr="00F549B2" w:rsidRDefault="00D5459E" w:rsidP="006510EA">
      <w:pPr>
        <w:tabs>
          <w:tab w:val="left" w:pos="0"/>
          <w:tab w:val="left" w:pos="547"/>
          <w:tab w:val="left" w:pos="936"/>
          <w:tab w:val="left" w:pos="1440"/>
          <w:tab w:val="left" w:pos="1987"/>
        </w:tabs>
        <w:rPr>
          <w:szCs w:val="20"/>
        </w:rPr>
      </w:pPr>
    </w:p>
    <w:p w:rsidR="00D5459E" w:rsidRDefault="00D5459E" w:rsidP="006510EA">
      <w:pPr>
        <w:tabs>
          <w:tab w:val="left" w:pos="0"/>
          <w:tab w:val="left" w:pos="547"/>
          <w:tab w:val="left" w:pos="936"/>
          <w:tab w:val="left" w:pos="1440"/>
          <w:tab w:val="left" w:pos="1987"/>
        </w:tabs>
        <w:rPr>
          <w:szCs w:val="20"/>
        </w:rPr>
      </w:pPr>
    </w:p>
    <w:p w:rsidR="00D5459E" w:rsidRDefault="00D5459E" w:rsidP="006510EA">
      <w:pPr>
        <w:tabs>
          <w:tab w:val="left" w:pos="0"/>
          <w:tab w:val="left" w:pos="547"/>
          <w:tab w:val="left" w:pos="936"/>
          <w:tab w:val="left" w:pos="1440"/>
          <w:tab w:val="left" w:pos="1987"/>
        </w:tabs>
        <w:rPr>
          <w:szCs w:val="20"/>
        </w:rPr>
      </w:pPr>
    </w:p>
    <w:p w:rsidR="00733CCA" w:rsidRPr="00F549B2" w:rsidRDefault="00733CCA" w:rsidP="006510EA">
      <w:pPr>
        <w:tabs>
          <w:tab w:val="left" w:pos="0"/>
          <w:tab w:val="left" w:pos="547"/>
          <w:tab w:val="left" w:pos="936"/>
          <w:tab w:val="left" w:pos="1440"/>
          <w:tab w:val="left" w:pos="1987"/>
        </w:tabs>
        <w:rPr>
          <w:szCs w:val="20"/>
        </w:rPr>
      </w:pPr>
    </w:p>
    <w:p w:rsidR="00660547" w:rsidRPr="00D84570" w:rsidRDefault="00660547" w:rsidP="00660547">
      <w:pPr>
        <w:tabs>
          <w:tab w:val="left" w:pos="0"/>
          <w:tab w:val="left" w:pos="547"/>
          <w:tab w:val="left" w:pos="936"/>
          <w:tab w:val="left" w:pos="1440"/>
          <w:tab w:val="left" w:pos="1987"/>
        </w:tabs>
        <w:rPr>
          <w:color w:val="000000"/>
          <w:szCs w:val="20"/>
        </w:rPr>
      </w:pPr>
      <w:r>
        <w:rPr>
          <w:b/>
          <w:bCs/>
          <w:color w:val="000000"/>
          <w:szCs w:val="20"/>
        </w:rPr>
        <w:t>Auditor’s Signature</w:t>
      </w:r>
    </w:p>
    <w:p w:rsidR="00D5459E" w:rsidRPr="00F549B2" w:rsidRDefault="00D5459E" w:rsidP="006510EA">
      <w:pPr>
        <w:tabs>
          <w:tab w:val="left" w:pos="0"/>
          <w:tab w:val="left" w:pos="547"/>
          <w:tab w:val="left" w:pos="936"/>
          <w:tab w:val="left" w:pos="1440"/>
          <w:tab w:val="left" w:pos="1987"/>
        </w:tabs>
        <w:rPr>
          <w:szCs w:val="20"/>
        </w:rPr>
      </w:pPr>
    </w:p>
    <w:p w:rsidR="00D5459E" w:rsidRPr="00F549B2" w:rsidRDefault="00D5459E" w:rsidP="006510EA">
      <w:pPr>
        <w:tabs>
          <w:tab w:val="left" w:pos="0"/>
          <w:tab w:val="left" w:pos="547"/>
          <w:tab w:val="left" w:pos="936"/>
          <w:tab w:val="left" w:pos="1440"/>
          <w:tab w:val="left" w:pos="1987"/>
        </w:tabs>
        <w:rPr>
          <w:szCs w:val="20"/>
        </w:rPr>
      </w:pPr>
    </w:p>
    <w:p w:rsidR="00D5459E" w:rsidRPr="00F549B2" w:rsidRDefault="00D5459E" w:rsidP="006510EA">
      <w:pPr>
        <w:tabs>
          <w:tab w:val="left" w:pos="0"/>
          <w:tab w:val="left" w:pos="547"/>
          <w:tab w:val="left" w:pos="936"/>
          <w:tab w:val="left" w:pos="1440"/>
          <w:tab w:val="left" w:pos="1987"/>
        </w:tabs>
        <w:rPr>
          <w:i/>
          <w:szCs w:val="20"/>
        </w:rPr>
      </w:pPr>
      <w:r w:rsidRPr="00F549B2">
        <w:rPr>
          <w:szCs w:val="20"/>
        </w:rPr>
        <w:t>[REPORT DATE]</w:t>
      </w:r>
    </w:p>
    <w:p w:rsidR="00D5459E" w:rsidRPr="00F549B2" w:rsidRDefault="00D5459E" w:rsidP="006510EA">
      <w:pPr>
        <w:widowControl/>
        <w:tabs>
          <w:tab w:val="left" w:pos="0"/>
          <w:tab w:val="left" w:pos="547"/>
          <w:tab w:val="left" w:pos="936"/>
          <w:tab w:val="left" w:pos="1440"/>
          <w:tab w:val="left" w:pos="1987"/>
        </w:tabs>
        <w:rPr>
          <w:szCs w:val="20"/>
        </w:rPr>
      </w:pPr>
    </w:p>
    <w:p w:rsidR="00D5459E" w:rsidRPr="00F549B2" w:rsidRDefault="00D5459E" w:rsidP="006510EA">
      <w:pPr>
        <w:widowControl/>
        <w:tabs>
          <w:tab w:val="left" w:pos="0"/>
          <w:tab w:val="left" w:pos="547"/>
          <w:tab w:val="left" w:pos="936"/>
          <w:tab w:val="left" w:pos="1440"/>
          <w:tab w:val="left" w:pos="1987"/>
        </w:tabs>
        <w:rPr>
          <w:szCs w:val="20"/>
        </w:rPr>
      </w:pPr>
    </w:p>
    <w:p w:rsidR="00D5459E" w:rsidRPr="00F549B2" w:rsidRDefault="00D5459E" w:rsidP="006510EA">
      <w:pPr>
        <w:widowControl/>
        <w:tabs>
          <w:tab w:val="left" w:pos="0"/>
          <w:tab w:val="left" w:pos="547"/>
          <w:tab w:val="left" w:pos="936"/>
          <w:tab w:val="left" w:pos="1440"/>
          <w:tab w:val="left" w:pos="1987"/>
        </w:tabs>
        <w:rPr>
          <w:szCs w:val="20"/>
        </w:rPr>
      </w:pPr>
    </w:p>
    <w:p w:rsidR="00D5459E" w:rsidRDefault="00D5459E" w:rsidP="006510EA">
      <w:pPr>
        <w:widowControl/>
        <w:tabs>
          <w:tab w:val="left" w:pos="0"/>
          <w:tab w:val="left" w:pos="547"/>
          <w:tab w:val="left" w:pos="936"/>
          <w:tab w:val="left" w:pos="1440"/>
          <w:tab w:val="left" w:pos="1987"/>
        </w:tabs>
        <w:rPr>
          <w:color w:val="FF0000"/>
          <w:szCs w:val="20"/>
        </w:rPr>
      </w:pPr>
      <w:r w:rsidRPr="00F549B2">
        <w:rPr>
          <w:color w:val="FF0000"/>
          <w:szCs w:val="20"/>
        </w:rPr>
        <w:t>Note:  Do not use the “restricted use” paragraph with this opinion.</w:t>
      </w:r>
      <w:bookmarkEnd w:id="2"/>
    </w:p>
    <w:p w:rsidR="00D5459E" w:rsidRDefault="00D5459E" w:rsidP="0047788C">
      <w:pPr>
        <w:widowControl/>
        <w:tabs>
          <w:tab w:val="left" w:pos="0"/>
          <w:tab w:val="left" w:pos="547"/>
          <w:tab w:val="left" w:pos="936"/>
          <w:tab w:val="left" w:pos="1440"/>
          <w:tab w:val="left" w:pos="1987"/>
        </w:tabs>
        <w:jc w:val="center"/>
        <w:rPr>
          <w:b/>
          <w:bCs/>
          <w:color w:val="000000"/>
          <w:szCs w:val="20"/>
        </w:rPr>
      </w:pPr>
      <w:r>
        <w:rPr>
          <w:color w:val="FF0000"/>
          <w:szCs w:val="20"/>
        </w:rPr>
        <w:br w:type="page"/>
      </w:r>
      <w:r w:rsidRPr="0047788C">
        <w:rPr>
          <w:b/>
          <w:bCs/>
          <w:color w:val="FF0000"/>
          <w:szCs w:val="20"/>
        </w:rPr>
        <w:lastRenderedPageBreak/>
        <w:t>Adverse</w:t>
      </w:r>
      <w:r w:rsidRPr="00F549B2">
        <w:rPr>
          <w:b/>
          <w:bCs/>
          <w:color w:val="000000"/>
          <w:szCs w:val="20"/>
        </w:rPr>
        <w:t xml:space="preserve"> Opinion </w:t>
      </w:r>
      <w:r>
        <w:rPr>
          <w:b/>
          <w:bCs/>
          <w:color w:val="000000"/>
          <w:szCs w:val="20"/>
        </w:rPr>
        <w:t>for Governments Required to Follow GAAP,</w:t>
      </w:r>
    </w:p>
    <w:p w:rsidR="00D5459E" w:rsidRPr="00F549B2" w:rsidRDefault="00D5459E" w:rsidP="0047788C">
      <w:pPr>
        <w:widowControl/>
        <w:tabs>
          <w:tab w:val="left" w:pos="0"/>
          <w:tab w:val="left" w:pos="547"/>
          <w:tab w:val="left" w:pos="936"/>
          <w:tab w:val="left" w:pos="1440"/>
          <w:tab w:val="left" w:pos="1987"/>
        </w:tabs>
        <w:jc w:val="center"/>
        <w:rPr>
          <w:color w:val="000000"/>
          <w:szCs w:val="20"/>
        </w:rPr>
      </w:pPr>
      <w:r>
        <w:rPr>
          <w:b/>
          <w:bCs/>
          <w:color w:val="000000"/>
          <w:szCs w:val="20"/>
        </w:rPr>
        <w:t xml:space="preserve">But that Instead Use </w:t>
      </w:r>
      <w:r w:rsidRPr="00F549B2">
        <w:rPr>
          <w:b/>
          <w:bCs/>
          <w:color w:val="000000"/>
          <w:szCs w:val="20"/>
        </w:rPr>
        <w:t xml:space="preserve">the Auditor of State’s </w:t>
      </w:r>
      <w:r>
        <w:rPr>
          <w:b/>
          <w:bCs/>
          <w:color w:val="000000"/>
          <w:szCs w:val="20"/>
        </w:rPr>
        <w:t xml:space="preserve">Accounting </w:t>
      </w:r>
      <w:r w:rsidRPr="00F549B2">
        <w:rPr>
          <w:b/>
          <w:bCs/>
          <w:color w:val="000000"/>
          <w:szCs w:val="20"/>
        </w:rPr>
        <w:t>Basis</w:t>
      </w:r>
    </w:p>
    <w:p w:rsidR="00D5459E" w:rsidRPr="00F549B2" w:rsidRDefault="00D5459E" w:rsidP="00DD379A">
      <w:pPr>
        <w:widowControl/>
        <w:tabs>
          <w:tab w:val="left" w:pos="0"/>
          <w:tab w:val="left" w:pos="547"/>
          <w:tab w:val="left" w:pos="936"/>
          <w:tab w:val="left" w:pos="1440"/>
          <w:tab w:val="left" w:pos="1987"/>
        </w:tabs>
        <w:jc w:val="both"/>
        <w:rPr>
          <w:color w:val="000000"/>
          <w:szCs w:val="20"/>
          <w:u w:val="single"/>
        </w:rPr>
      </w:pPr>
    </w:p>
    <w:p w:rsidR="00D5459E" w:rsidRPr="00F549B2" w:rsidRDefault="00D5459E" w:rsidP="00DD379A">
      <w:pPr>
        <w:widowControl/>
        <w:tabs>
          <w:tab w:val="left" w:pos="0"/>
          <w:tab w:val="left" w:pos="547"/>
          <w:tab w:val="left" w:pos="936"/>
          <w:tab w:val="left" w:pos="1440"/>
          <w:tab w:val="left" w:pos="1987"/>
        </w:tabs>
        <w:jc w:val="center"/>
        <w:rPr>
          <w:color w:val="000000"/>
          <w:szCs w:val="20"/>
        </w:rPr>
      </w:pPr>
      <w:r w:rsidRPr="00F549B2">
        <w:rPr>
          <w:b/>
          <w:bCs/>
          <w:color w:val="000000"/>
          <w:szCs w:val="20"/>
        </w:rPr>
        <w:t>INDEPENDENT ACCOUNTANTS’ REPORT</w:t>
      </w:r>
    </w:p>
    <w:p w:rsidR="00D5459E" w:rsidRDefault="00D5459E" w:rsidP="00DD379A">
      <w:pPr>
        <w:tabs>
          <w:tab w:val="left" w:pos="0"/>
          <w:tab w:val="left" w:pos="547"/>
          <w:tab w:val="left" w:pos="936"/>
          <w:tab w:val="left" w:pos="1440"/>
          <w:tab w:val="left" w:pos="1987"/>
        </w:tabs>
      </w:pPr>
    </w:p>
    <w:p w:rsidR="00D5459E" w:rsidRPr="00F549B2" w:rsidRDefault="00D5459E" w:rsidP="00DD379A">
      <w:pPr>
        <w:tabs>
          <w:tab w:val="left" w:pos="0"/>
          <w:tab w:val="left" w:pos="547"/>
          <w:tab w:val="left" w:pos="936"/>
          <w:tab w:val="left" w:pos="1440"/>
          <w:tab w:val="left" w:pos="1987"/>
        </w:tabs>
      </w:pPr>
    </w:p>
    <w:p w:rsidR="00D5459E" w:rsidRDefault="00D5459E" w:rsidP="00DD379A">
      <w:pPr>
        <w:tabs>
          <w:tab w:val="left" w:pos="0"/>
          <w:tab w:val="left" w:pos="547"/>
          <w:tab w:val="left" w:pos="936"/>
          <w:tab w:val="left" w:pos="1440"/>
          <w:tab w:val="left" w:pos="1987"/>
        </w:tabs>
        <w:rPr>
          <w:color w:val="000000"/>
          <w:szCs w:val="20"/>
        </w:rPr>
      </w:pPr>
      <w:r w:rsidRPr="00F549B2">
        <w:rPr>
          <w:color w:val="000000"/>
          <w:szCs w:val="20"/>
        </w:rPr>
        <w:t>[ENTITY NAME]</w:t>
      </w:r>
    </w:p>
    <w:p w:rsidR="00D5459E" w:rsidRPr="00F549B2" w:rsidRDefault="00D5459E" w:rsidP="00DD379A">
      <w:pPr>
        <w:tabs>
          <w:tab w:val="left" w:pos="0"/>
          <w:tab w:val="left" w:pos="547"/>
          <w:tab w:val="left" w:pos="936"/>
          <w:tab w:val="left" w:pos="1440"/>
          <w:tab w:val="left" w:pos="1987"/>
        </w:tabs>
        <w:rPr>
          <w:color w:val="000000"/>
          <w:szCs w:val="20"/>
        </w:rPr>
      </w:pPr>
      <w:r w:rsidRPr="00F549B2">
        <w:rPr>
          <w:color w:val="000000"/>
          <w:szCs w:val="20"/>
        </w:rPr>
        <w:t>[COUNTY NAME]</w:t>
      </w:r>
      <w:r>
        <w:rPr>
          <w:color w:val="000000"/>
          <w:szCs w:val="20"/>
        </w:rPr>
        <w:t xml:space="preserve"> </w:t>
      </w:r>
      <w:r w:rsidRPr="00F549B2">
        <w:rPr>
          <w:color w:val="000000"/>
          <w:szCs w:val="20"/>
        </w:rPr>
        <w:t>County</w:t>
      </w:r>
    </w:p>
    <w:p w:rsidR="00D5459E" w:rsidRPr="00EB0F80" w:rsidRDefault="00D5459E" w:rsidP="00DD379A">
      <w:pPr>
        <w:tabs>
          <w:tab w:val="left" w:pos="0"/>
          <w:tab w:val="left" w:pos="547"/>
          <w:tab w:val="left" w:pos="936"/>
          <w:tab w:val="left" w:pos="1440"/>
          <w:tab w:val="left" w:pos="1987"/>
        </w:tabs>
        <w:rPr>
          <w:rStyle w:val="footnoteref"/>
        </w:rPr>
      </w:pPr>
      <w:r w:rsidRPr="00EB0F80">
        <w:rPr>
          <w:rStyle w:val="footnoteref"/>
        </w:rPr>
        <w:t>[STREET ADDRESS]</w:t>
      </w:r>
    </w:p>
    <w:p w:rsidR="00D5459E" w:rsidRPr="00EB0F80" w:rsidRDefault="00D5459E" w:rsidP="00DD379A">
      <w:pPr>
        <w:tabs>
          <w:tab w:val="left" w:pos="0"/>
          <w:tab w:val="left" w:pos="547"/>
          <w:tab w:val="left" w:pos="936"/>
          <w:tab w:val="left" w:pos="1440"/>
          <w:tab w:val="left" w:pos="1987"/>
        </w:tabs>
        <w:rPr>
          <w:rStyle w:val="footnoteref"/>
        </w:rPr>
      </w:pPr>
      <w:r w:rsidRPr="00EB0F80">
        <w:rPr>
          <w:rStyle w:val="footnoteref"/>
        </w:rPr>
        <w:t>[CITY], Ohio [ZIP CODE]</w:t>
      </w:r>
    </w:p>
    <w:p w:rsidR="00D5459E" w:rsidRDefault="00D5459E" w:rsidP="00DD379A">
      <w:pPr>
        <w:tabs>
          <w:tab w:val="left" w:pos="0"/>
          <w:tab w:val="left" w:pos="547"/>
          <w:tab w:val="left" w:pos="936"/>
          <w:tab w:val="left" w:pos="1440"/>
          <w:tab w:val="left" w:pos="1987"/>
        </w:tabs>
        <w:rPr>
          <w:rStyle w:val="footnoteref"/>
        </w:rPr>
      </w:pPr>
    </w:p>
    <w:p w:rsidR="00D5459E" w:rsidRPr="00EB0F80" w:rsidRDefault="00D5459E" w:rsidP="00DD379A">
      <w:pPr>
        <w:tabs>
          <w:tab w:val="left" w:pos="0"/>
          <w:tab w:val="left" w:pos="547"/>
          <w:tab w:val="left" w:pos="936"/>
          <w:tab w:val="left" w:pos="1440"/>
          <w:tab w:val="left" w:pos="1987"/>
        </w:tabs>
        <w:rPr>
          <w:rStyle w:val="footnoteref"/>
        </w:rPr>
      </w:pPr>
      <w:r w:rsidRPr="00EB0F80">
        <w:rPr>
          <w:rStyle w:val="footnoteref"/>
        </w:rPr>
        <w:t>To the [GOVERNING BODY]:</w:t>
      </w:r>
    </w:p>
    <w:p w:rsidR="00D5459E" w:rsidRPr="00F549B2" w:rsidRDefault="00D5459E" w:rsidP="00DD379A">
      <w:pPr>
        <w:tabs>
          <w:tab w:val="left" w:pos="0"/>
          <w:tab w:val="left" w:pos="547"/>
          <w:tab w:val="left" w:pos="936"/>
          <w:tab w:val="left" w:pos="1440"/>
          <w:tab w:val="left" w:pos="1987"/>
        </w:tabs>
        <w:rPr>
          <w:color w:val="000000"/>
          <w:szCs w:val="20"/>
        </w:rPr>
      </w:pPr>
    </w:p>
    <w:p w:rsidR="00DD379A" w:rsidRPr="00F549B2" w:rsidRDefault="00D5459E" w:rsidP="00DD379A">
      <w:pPr>
        <w:widowControl/>
        <w:tabs>
          <w:tab w:val="left" w:pos="0"/>
          <w:tab w:val="left" w:pos="547"/>
          <w:tab w:val="left" w:pos="936"/>
          <w:tab w:val="left" w:pos="1440"/>
          <w:tab w:val="left" w:pos="1987"/>
        </w:tabs>
        <w:jc w:val="both"/>
        <w:rPr>
          <w:color w:val="000000"/>
          <w:szCs w:val="20"/>
        </w:rPr>
      </w:pPr>
      <w:r w:rsidRPr="00F549B2">
        <w:rPr>
          <w:color w:val="000000"/>
          <w:szCs w:val="20"/>
        </w:rPr>
        <w:t>We have audited the accompanying financial statements of [ENTITY NAME], [COUNTY NAME] County,</w:t>
      </w:r>
      <w:r w:rsidRPr="00F549B2">
        <w:rPr>
          <w:color w:val="000000"/>
          <w:szCs w:val="20"/>
          <w:vertAlign w:val="superscript"/>
        </w:rPr>
        <w:t xml:space="preserve"> </w:t>
      </w:r>
      <w:r w:rsidRPr="00F549B2">
        <w:rPr>
          <w:color w:val="000000"/>
          <w:szCs w:val="20"/>
        </w:rPr>
        <w:t>(</w:t>
      </w:r>
      <w:r w:rsidR="00DD379A" w:rsidRPr="00F549B2">
        <w:rPr>
          <w:color w:val="000000"/>
          <w:szCs w:val="20"/>
        </w:rPr>
        <w:t>the Government)</w:t>
      </w:r>
      <w:r w:rsidR="00FA77CA" w:rsidRPr="00FA77CA">
        <w:rPr>
          <w:rStyle w:val="EndnoteReference"/>
          <w:color w:val="000000"/>
          <w:szCs w:val="20"/>
        </w:rPr>
        <w:t xml:space="preserve"> </w:t>
      </w:r>
      <w:r w:rsidR="00FA77CA">
        <w:rPr>
          <w:rStyle w:val="EndnoteReference"/>
          <w:color w:val="000000"/>
          <w:szCs w:val="20"/>
        </w:rPr>
        <w:endnoteReference w:id="13"/>
      </w:r>
      <w:r w:rsidR="00DD379A" w:rsidRPr="00F549B2">
        <w:rPr>
          <w:color w:val="000000"/>
          <w:szCs w:val="20"/>
        </w:rPr>
        <w:t xml:space="preserve"> as of and for the year</w:t>
      </w:r>
      <w:r w:rsidR="00DD379A" w:rsidRPr="00F549B2">
        <w:rPr>
          <w:b/>
          <w:bCs/>
          <w:color w:val="000000"/>
          <w:szCs w:val="20"/>
        </w:rPr>
        <w:t>(s)</w:t>
      </w:r>
      <w:r w:rsidR="00DD379A" w:rsidRPr="00F549B2">
        <w:rPr>
          <w:color w:val="000000"/>
          <w:szCs w:val="20"/>
        </w:rPr>
        <w:t xml:space="preserve"> ended [FYE DATE].  These financial statements are the responsibility of the Government’s management.  Our responsibility is to express an opinion on these financial statements based on our audit.</w:t>
      </w:r>
    </w:p>
    <w:p w:rsidR="00DD379A" w:rsidRPr="00F549B2" w:rsidRDefault="00DD379A" w:rsidP="00DD379A">
      <w:pPr>
        <w:widowControl/>
        <w:tabs>
          <w:tab w:val="left" w:pos="0"/>
          <w:tab w:val="left" w:pos="547"/>
          <w:tab w:val="left" w:pos="936"/>
          <w:tab w:val="left" w:pos="1440"/>
          <w:tab w:val="left" w:pos="1987"/>
        </w:tabs>
        <w:jc w:val="both"/>
        <w:rPr>
          <w:color w:val="000000"/>
          <w:szCs w:val="20"/>
        </w:rPr>
      </w:pPr>
    </w:p>
    <w:p w:rsidR="00DD379A" w:rsidRPr="00F549B2" w:rsidRDefault="00DD379A" w:rsidP="00DD379A">
      <w:pPr>
        <w:tabs>
          <w:tab w:val="left" w:pos="0"/>
          <w:tab w:val="left" w:pos="547"/>
          <w:tab w:val="left" w:pos="936"/>
          <w:tab w:val="left" w:pos="1440"/>
          <w:tab w:val="left" w:pos="1987"/>
        </w:tabs>
        <w:jc w:val="both"/>
        <w:rPr>
          <w:color w:val="000000"/>
          <w:szCs w:val="20"/>
        </w:rPr>
      </w:pPr>
      <w:r w:rsidRPr="00F549B2">
        <w:rPr>
          <w:color w:val="000000"/>
          <w:szCs w:val="20"/>
        </w:rPr>
        <w:t xml:space="preserve">We conducted our audit in accordance with auditing standards generally accepted in the </w:t>
      </w:r>
      <w:r w:rsidR="00984807">
        <w:rPr>
          <w:color w:val="000000"/>
          <w:szCs w:val="20"/>
        </w:rPr>
        <w:t>United States of America</w:t>
      </w:r>
      <w:r w:rsidR="00984807" w:rsidRPr="00F549B2">
        <w:rPr>
          <w:color w:val="000000"/>
          <w:szCs w:val="20"/>
        </w:rPr>
        <w:t xml:space="preserve"> and</w:t>
      </w:r>
      <w:r w:rsidRPr="00F549B2">
        <w:rPr>
          <w:color w:val="000000"/>
          <w:szCs w:val="20"/>
        </w:rPr>
        <w:t xml:space="preserve"> the standards applicable to financial audits contained in</w:t>
      </w:r>
      <w:r w:rsidR="003F5B4F" w:rsidRPr="003F5B4F">
        <w:rPr>
          <w:color w:val="000000"/>
        </w:rPr>
        <w:t xml:space="preserve"> </w:t>
      </w:r>
      <w:r w:rsidR="003F5B4F">
        <w:rPr>
          <w:color w:val="000000"/>
        </w:rPr>
        <w:t xml:space="preserve">the Comptroller General of the United States’ </w:t>
      </w:r>
      <w:r w:rsidR="003F5B4F" w:rsidRPr="003C4059">
        <w:rPr>
          <w:i/>
          <w:iCs/>
          <w:color w:val="000000"/>
        </w:rPr>
        <w:t>Government Auditing Standards</w:t>
      </w:r>
      <w:r w:rsidR="003F5B4F" w:rsidRPr="003C4059">
        <w:rPr>
          <w:color w:val="000000"/>
        </w:rPr>
        <w:t>.</w:t>
      </w:r>
      <w:r w:rsidRPr="00F549B2">
        <w:rPr>
          <w:color w:val="000000"/>
          <w:szCs w:val="20"/>
        </w:rPr>
        <w:t xml:space="preserve">  Those standards require that we plan and perform the audit to reasonably assure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 provides a reasonable basis for our opinion.</w:t>
      </w:r>
    </w:p>
    <w:p w:rsidR="00DD379A" w:rsidRPr="000925F1" w:rsidRDefault="00C72524" w:rsidP="00DD379A">
      <w:pPr>
        <w:widowControl/>
        <w:tabs>
          <w:tab w:val="left" w:pos="0"/>
          <w:tab w:val="left" w:pos="547"/>
          <w:tab w:val="left" w:pos="936"/>
          <w:tab w:val="left" w:pos="1440"/>
          <w:tab w:val="left" w:pos="1987"/>
        </w:tabs>
        <w:jc w:val="both"/>
        <w:rPr>
          <w:color w:val="000000"/>
          <w:szCs w:val="20"/>
          <w:vertAlign w:val="superscript"/>
        </w:rPr>
      </w:pPr>
      <w:fldSimple w:instr=" NOTEREF _Ref306010856 \h  \* MERGEFORMAT ">
        <w:r w:rsidR="000925F1" w:rsidRPr="00DE5BAD">
          <w:rPr>
            <w:color w:val="000000"/>
            <w:szCs w:val="20"/>
            <w:vertAlign w:val="superscript"/>
          </w:rPr>
          <w:t>5</w:t>
        </w:r>
      </w:fldSimple>
    </w:p>
    <w:p w:rsidR="006C4839" w:rsidRDefault="006C4839" w:rsidP="00875D78">
      <w:pPr>
        <w:jc w:val="both"/>
        <w:rPr>
          <w:szCs w:val="20"/>
        </w:rPr>
      </w:pPr>
      <w:r>
        <w:rPr>
          <w:szCs w:val="20"/>
        </w:rPr>
        <w:t xml:space="preserve">Ohio Administrative Code Section 117-2-03 (B) requires the Government to prepare its annual financial report in accordance with accounting principles generally accepted in the </w:t>
      </w:r>
      <w:r w:rsidR="00984807">
        <w:rPr>
          <w:szCs w:val="20"/>
        </w:rPr>
        <w:t xml:space="preserve">United States of America. </w:t>
      </w:r>
      <w:r>
        <w:rPr>
          <w:szCs w:val="20"/>
        </w:rPr>
        <w:t>However, as discussed in Note 1, the accompanying financial statements and notes have been prepared on a</w:t>
      </w:r>
      <w:r w:rsidR="00160F03">
        <w:rPr>
          <w:szCs w:val="20"/>
        </w:rPr>
        <w:t>n</w:t>
      </w:r>
      <w:r>
        <w:rPr>
          <w:szCs w:val="20"/>
        </w:rPr>
        <w:t xml:space="preserve"> accounting </w:t>
      </w:r>
      <w:r w:rsidR="00160F03">
        <w:rPr>
          <w:szCs w:val="20"/>
        </w:rPr>
        <w:t xml:space="preserve">basis </w:t>
      </w:r>
      <w:r>
        <w:rPr>
          <w:szCs w:val="20"/>
        </w:rPr>
        <w:t xml:space="preserve">not in accordance with these generally accepted accounting principles. The accompanying financial statements and notes omit </w:t>
      </w:r>
      <w:r w:rsidR="00A1219E">
        <w:rPr>
          <w:szCs w:val="20"/>
        </w:rPr>
        <w:t xml:space="preserve">entity wide statements, and </w:t>
      </w:r>
      <w:r>
        <w:rPr>
          <w:szCs w:val="20"/>
        </w:rPr>
        <w:t xml:space="preserve">assets, liabilities, fund equities, and disclosures that, while material, </w:t>
      </w:r>
      <w:r w:rsidR="008B46D6">
        <w:rPr>
          <w:szCs w:val="20"/>
        </w:rPr>
        <w:t xml:space="preserve">we </w:t>
      </w:r>
      <w:r>
        <w:rPr>
          <w:szCs w:val="20"/>
        </w:rPr>
        <w:t>cannot determine at this time.</w:t>
      </w:r>
    </w:p>
    <w:p w:rsidR="006C4839" w:rsidRDefault="006C4839" w:rsidP="00875D78">
      <w:pPr>
        <w:jc w:val="both"/>
        <w:rPr>
          <w:szCs w:val="20"/>
        </w:rPr>
      </w:pPr>
    </w:p>
    <w:p w:rsidR="006C4839" w:rsidRDefault="006C4839" w:rsidP="00875D78">
      <w:pPr>
        <w:jc w:val="both"/>
        <w:rPr>
          <w:szCs w:val="20"/>
        </w:rPr>
      </w:pPr>
      <w:r>
        <w:rPr>
          <w:szCs w:val="20"/>
        </w:rPr>
        <w:t xml:space="preserve">In our </w:t>
      </w:r>
      <w:r w:rsidRPr="00593E6E">
        <w:rPr>
          <w:szCs w:val="20"/>
        </w:rPr>
        <w:t xml:space="preserve">opinion, </w:t>
      </w:r>
      <w:r w:rsidR="00AC447D" w:rsidRPr="00593E6E">
        <w:rPr>
          <w:szCs w:val="20"/>
        </w:rPr>
        <w:t xml:space="preserve">because of the departure from generally accepted accounting principles described in the preceding paragraph, </w:t>
      </w:r>
      <w:r w:rsidRPr="00593E6E">
        <w:rPr>
          <w:szCs w:val="20"/>
        </w:rPr>
        <w:t>the accompanying financial statements do not present fairly the financial position, results of operations, and cash flows,</w:t>
      </w:r>
      <w:r w:rsidR="00400929" w:rsidRPr="00593E6E">
        <w:rPr>
          <w:rStyle w:val="EndnoteReference"/>
          <w:szCs w:val="20"/>
        </w:rPr>
        <w:endnoteReference w:id="14"/>
      </w:r>
      <w:r w:rsidRPr="00593E6E">
        <w:rPr>
          <w:szCs w:val="20"/>
        </w:rPr>
        <w:t xml:space="preserve"> where</w:t>
      </w:r>
      <w:r>
        <w:rPr>
          <w:szCs w:val="20"/>
        </w:rPr>
        <w:t xml:space="preserve"> applicable, of the [indicate entity] as of and for the year ended [date] in accordance with accounting principles generally accepted in the </w:t>
      </w:r>
      <w:r w:rsidR="00984807">
        <w:rPr>
          <w:szCs w:val="20"/>
        </w:rPr>
        <w:t>United States of America</w:t>
      </w:r>
      <w:r>
        <w:rPr>
          <w:szCs w:val="20"/>
        </w:rPr>
        <w:t>.</w:t>
      </w:r>
    </w:p>
    <w:p w:rsidR="00333B87" w:rsidRDefault="00333B87" w:rsidP="00333B87">
      <w:pPr>
        <w:widowControl/>
        <w:tabs>
          <w:tab w:val="left" w:pos="0"/>
          <w:tab w:val="left" w:pos="547"/>
          <w:tab w:val="left" w:pos="936"/>
          <w:tab w:val="left" w:pos="1440"/>
          <w:tab w:val="left" w:pos="1987"/>
        </w:tabs>
        <w:jc w:val="both"/>
        <w:rPr>
          <w:b/>
          <w:color w:val="FF0000"/>
          <w:szCs w:val="20"/>
          <w:highlight w:val="cyan"/>
        </w:rPr>
      </w:pPr>
    </w:p>
    <w:p w:rsidR="00333B87" w:rsidRPr="005926A4" w:rsidRDefault="00333B87" w:rsidP="00333B87">
      <w:pPr>
        <w:widowControl/>
        <w:tabs>
          <w:tab w:val="left" w:pos="0"/>
          <w:tab w:val="left" w:pos="547"/>
          <w:tab w:val="left" w:pos="936"/>
          <w:tab w:val="left" w:pos="1440"/>
          <w:tab w:val="left" w:pos="1987"/>
        </w:tabs>
        <w:jc w:val="both"/>
        <w:rPr>
          <w:color w:val="000000"/>
          <w:szCs w:val="20"/>
          <w:highlight w:val="cyan"/>
        </w:rPr>
      </w:pPr>
      <w:r w:rsidRPr="005926A4">
        <w:rPr>
          <w:b/>
          <w:color w:val="FF0000"/>
          <w:szCs w:val="20"/>
          <w:highlight w:val="cyan"/>
        </w:rPr>
        <w:t>USE THE FOLLOWING PARAGRAPH THE FIRST YEAR THE GOVERNMENT ADOPTS GASB54:</w:t>
      </w:r>
    </w:p>
    <w:p w:rsidR="00333B87" w:rsidRPr="00F52BD7" w:rsidRDefault="00333B87" w:rsidP="00333B87">
      <w:pPr>
        <w:widowControl/>
        <w:tabs>
          <w:tab w:val="left" w:pos="-1440"/>
          <w:tab w:val="left" w:pos="-720"/>
          <w:tab w:val="left" w:pos="0"/>
          <w:tab w:val="left" w:pos="720"/>
          <w:tab w:val="left" w:pos="1440"/>
          <w:tab w:val="left" w:pos="2160"/>
          <w:tab w:val="left" w:pos="2880"/>
          <w:tab w:val="left" w:pos="3600"/>
          <w:tab w:val="left" w:pos="4140"/>
        </w:tabs>
        <w:jc w:val="both"/>
        <w:rPr>
          <w:b/>
          <w:bCs/>
          <w:color w:val="FF0000"/>
          <w:szCs w:val="20"/>
        </w:rPr>
      </w:pPr>
      <w:r w:rsidRPr="007A3EE5">
        <w:rPr>
          <w:szCs w:val="20"/>
        </w:rPr>
        <w:t>As described in Note XX,</w:t>
      </w:r>
      <w:r w:rsidRPr="007A3EE5">
        <w:rPr>
          <w:color w:val="FF0000"/>
          <w:szCs w:val="20"/>
        </w:rPr>
        <w:t xml:space="preserve"> </w:t>
      </w:r>
      <w:r w:rsidRPr="007A3EE5">
        <w:rPr>
          <w:szCs w:val="20"/>
        </w:rPr>
        <w:t>during 2011 the [ENTITY NAME]</w:t>
      </w:r>
      <w:r w:rsidRPr="007A3EE5">
        <w:rPr>
          <w:color w:val="FF0000"/>
          <w:szCs w:val="20"/>
        </w:rPr>
        <w:t xml:space="preserve"> </w:t>
      </w:r>
      <w:r w:rsidRPr="007A3EE5">
        <w:rPr>
          <w:szCs w:val="20"/>
        </w:rPr>
        <w:t xml:space="preserve">adopted Governmental Accounting Standards Board Statement No. 54, </w:t>
      </w:r>
      <w:r w:rsidRPr="007A3EE5">
        <w:rPr>
          <w:i/>
          <w:szCs w:val="20"/>
        </w:rPr>
        <w:t>Fund Balance Reporting and Governmental Fund Type Definitions</w:t>
      </w:r>
      <w:r w:rsidRPr="007A3EE5">
        <w:rPr>
          <w:szCs w:val="20"/>
        </w:rPr>
        <w:t>.</w:t>
      </w:r>
    </w:p>
    <w:p w:rsidR="007E777D" w:rsidRDefault="007E777D" w:rsidP="007E777D">
      <w:pPr>
        <w:jc w:val="both"/>
        <w:rPr>
          <w:szCs w:val="20"/>
        </w:rPr>
      </w:pPr>
    </w:p>
    <w:p w:rsidR="007E777D" w:rsidRDefault="007E777D" w:rsidP="007E777D">
      <w:pPr>
        <w:jc w:val="both"/>
        <w:rPr>
          <w:szCs w:val="20"/>
        </w:rPr>
      </w:pPr>
      <w:r w:rsidRPr="00DC199F">
        <w:rPr>
          <w:szCs w:val="20"/>
        </w:rPr>
        <w:t>The Government also has not presented Management’s Discussion and Analysis, which accounting principles generally accepted in the United States of America has determined is necessary to supplement, although not required to be part of, the financial statements.</w:t>
      </w:r>
      <w:r w:rsidR="00811DEF">
        <w:rPr>
          <w:szCs w:val="20"/>
        </w:rPr>
        <w:t xml:space="preserve">  </w:t>
      </w:r>
    </w:p>
    <w:p w:rsidR="00A1219E" w:rsidRDefault="00A1219E" w:rsidP="00875D78">
      <w:pPr>
        <w:jc w:val="both"/>
        <w:rPr>
          <w:szCs w:val="20"/>
        </w:rPr>
      </w:pPr>
    </w:p>
    <w:p w:rsidR="00DD379A" w:rsidRPr="00D54E2E" w:rsidRDefault="00DD379A" w:rsidP="00875D78">
      <w:pPr>
        <w:widowControl/>
        <w:tabs>
          <w:tab w:val="left" w:pos="0"/>
          <w:tab w:val="left" w:pos="547"/>
          <w:tab w:val="left" w:pos="936"/>
          <w:tab w:val="left" w:pos="1440"/>
          <w:tab w:val="left" w:pos="1987"/>
        </w:tabs>
        <w:jc w:val="both"/>
      </w:pPr>
      <w:r w:rsidRPr="00F549B2">
        <w:rPr>
          <w:color w:val="000000"/>
          <w:szCs w:val="20"/>
        </w:rPr>
        <w:t xml:space="preserve">In accordance with </w:t>
      </w:r>
      <w:r w:rsidRPr="00F549B2">
        <w:rPr>
          <w:rStyle w:val="footnoteref"/>
          <w:i/>
          <w:iCs/>
          <w:color w:val="000000"/>
          <w:szCs w:val="20"/>
        </w:rPr>
        <w:t>Government Auditing Standards</w:t>
      </w:r>
      <w:r w:rsidRPr="00F549B2">
        <w:rPr>
          <w:rStyle w:val="footnoteref"/>
          <w:color w:val="000000"/>
          <w:szCs w:val="20"/>
        </w:rPr>
        <w:t>, we have also issued our report dated [REPORT DATE],</w:t>
      </w:r>
      <w:r w:rsidRPr="00F549B2">
        <w:rPr>
          <w:color w:val="000000"/>
          <w:szCs w:val="20"/>
        </w:rPr>
        <w:t xml:space="preserve"> on our consideration of the Government’s internal control over financial reporting and our tests of its compliance with certain provisions of laws, regulations, contracts and grant agreements and other matters.  </w:t>
      </w:r>
      <w:r w:rsidR="00673451" w:rsidRPr="00BD0EA3">
        <w:rPr>
          <w:szCs w:val="20"/>
        </w:rPr>
        <w:t>While we did not opine on the internal control over financial reporting or on compliance, t</w:t>
      </w:r>
      <w:r w:rsidR="00673451" w:rsidRPr="00BD0EA3">
        <w:rPr>
          <w:color w:val="000000"/>
          <w:szCs w:val="20"/>
        </w:rPr>
        <w:t>hat report describes the scope of our testing of internal control over financial reporting and compliance</w:t>
      </w:r>
      <w:r w:rsidR="00673451">
        <w:rPr>
          <w:color w:val="000000"/>
          <w:szCs w:val="20"/>
        </w:rPr>
        <w:t>,</w:t>
      </w:r>
      <w:r w:rsidR="00673451" w:rsidRPr="00BD0EA3">
        <w:rPr>
          <w:color w:val="000000"/>
          <w:szCs w:val="20"/>
        </w:rPr>
        <w:t xml:space="preserve"> and the results of </w:t>
      </w:r>
      <w:r w:rsidR="00673451">
        <w:rPr>
          <w:szCs w:val="20"/>
        </w:rPr>
        <w:t xml:space="preserve">that testing. </w:t>
      </w:r>
      <w:r w:rsidRPr="00D54E2E">
        <w:t>That report is an integral part of an audit performed in accordance with Government Auditing Standards.  You should read it in conjunction with this report in assessing the results of our audit.</w:t>
      </w:r>
    </w:p>
    <w:p w:rsidR="00DD379A" w:rsidRDefault="00DD379A" w:rsidP="00875D78">
      <w:pPr>
        <w:widowControl/>
        <w:tabs>
          <w:tab w:val="left" w:pos="0"/>
          <w:tab w:val="left" w:pos="547"/>
          <w:tab w:val="left" w:pos="936"/>
          <w:tab w:val="left" w:pos="1440"/>
          <w:tab w:val="left" w:pos="1987"/>
        </w:tabs>
        <w:jc w:val="both"/>
        <w:rPr>
          <w:color w:val="000000"/>
          <w:szCs w:val="20"/>
        </w:rPr>
      </w:pPr>
    </w:p>
    <w:p w:rsidR="00D8796C" w:rsidRPr="00177343" w:rsidRDefault="00155053" w:rsidP="00875D78">
      <w:pPr>
        <w:ind w:left="30"/>
        <w:jc w:val="both"/>
        <w:rPr>
          <w:szCs w:val="20"/>
        </w:rPr>
      </w:pPr>
      <w:r w:rsidRPr="00177343">
        <w:rPr>
          <w:szCs w:val="20"/>
        </w:rPr>
        <w:t>We</w:t>
      </w:r>
      <w:r w:rsidR="00D8796C" w:rsidRPr="00177343">
        <w:rPr>
          <w:szCs w:val="20"/>
        </w:rPr>
        <w:t xml:space="preserve"> conducted </w:t>
      </w:r>
      <w:r w:rsidR="00177343" w:rsidRPr="00177343">
        <w:rPr>
          <w:szCs w:val="20"/>
        </w:rPr>
        <w:t xml:space="preserve">our audit to </w:t>
      </w:r>
      <w:r w:rsidR="00D8796C" w:rsidRPr="00177343">
        <w:rPr>
          <w:szCs w:val="20"/>
        </w:rPr>
        <w:t>opin</w:t>
      </w:r>
      <w:r w:rsidR="00177343" w:rsidRPr="00177343">
        <w:rPr>
          <w:szCs w:val="20"/>
        </w:rPr>
        <w:t>e</w:t>
      </w:r>
      <w:r w:rsidR="00D8796C" w:rsidRPr="00177343">
        <w:rPr>
          <w:szCs w:val="20"/>
        </w:rPr>
        <w:t xml:space="preserve"> on the </w:t>
      </w:r>
      <w:r w:rsidRPr="00177343">
        <w:rPr>
          <w:szCs w:val="20"/>
        </w:rPr>
        <w:t>Government’s</w:t>
      </w:r>
      <w:r w:rsidR="00D8796C" w:rsidRPr="00177343">
        <w:rPr>
          <w:szCs w:val="20"/>
        </w:rPr>
        <w:t xml:space="preserve"> </w:t>
      </w:r>
      <w:r w:rsidR="00D8796C" w:rsidRPr="00593E6E">
        <w:rPr>
          <w:szCs w:val="20"/>
        </w:rPr>
        <w:t>financial statements</w:t>
      </w:r>
      <w:r w:rsidR="00400929" w:rsidRPr="00593E6E">
        <w:rPr>
          <w:szCs w:val="20"/>
        </w:rPr>
        <w:t xml:space="preserve"> </w:t>
      </w:r>
      <w:r w:rsidR="00400929" w:rsidRPr="00593E6E">
        <w:t>taken as a whole</w:t>
      </w:r>
      <w:r w:rsidR="00400929" w:rsidRPr="00593E6E">
        <w:rPr>
          <w:szCs w:val="20"/>
        </w:rPr>
        <w:t>. The f</w:t>
      </w:r>
      <w:r w:rsidR="00D8796C" w:rsidRPr="00593E6E">
        <w:rPr>
          <w:szCs w:val="20"/>
        </w:rPr>
        <w:t xml:space="preserve">ederal </w:t>
      </w:r>
      <w:r w:rsidR="00400929" w:rsidRPr="00593E6E">
        <w:rPr>
          <w:szCs w:val="20"/>
        </w:rPr>
        <w:t>a</w:t>
      </w:r>
      <w:r w:rsidR="00D8796C" w:rsidRPr="00593E6E">
        <w:rPr>
          <w:szCs w:val="20"/>
        </w:rPr>
        <w:t xml:space="preserve">wards </w:t>
      </w:r>
      <w:r w:rsidR="00400929" w:rsidRPr="00593E6E">
        <w:rPr>
          <w:szCs w:val="20"/>
        </w:rPr>
        <w:t>e</w:t>
      </w:r>
      <w:r w:rsidRPr="00593E6E">
        <w:rPr>
          <w:szCs w:val="20"/>
        </w:rPr>
        <w:t xml:space="preserve">xpenditure </w:t>
      </w:r>
      <w:r w:rsidR="00400929" w:rsidRPr="00593E6E">
        <w:rPr>
          <w:szCs w:val="20"/>
        </w:rPr>
        <w:t>s</w:t>
      </w:r>
      <w:r w:rsidRPr="00593E6E">
        <w:rPr>
          <w:szCs w:val="20"/>
        </w:rPr>
        <w:t xml:space="preserve">chedule </w:t>
      </w:r>
      <w:r w:rsidR="00400929" w:rsidRPr="00593E6E">
        <w:rPr>
          <w:szCs w:val="20"/>
        </w:rPr>
        <w:t>provides</w:t>
      </w:r>
      <w:r w:rsidRPr="00593E6E">
        <w:rPr>
          <w:szCs w:val="20"/>
        </w:rPr>
        <w:t xml:space="preserve"> additional information </w:t>
      </w:r>
      <w:r w:rsidRPr="00593E6E">
        <w:t xml:space="preserve">required by </w:t>
      </w:r>
      <w:r w:rsidR="00400929" w:rsidRPr="00593E6E">
        <w:t xml:space="preserve">the </w:t>
      </w:r>
      <w:r w:rsidRPr="00593E6E">
        <w:t xml:space="preserve">U.S. Office of Management </w:t>
      </w:r>
      <w:r w:rsidRPr="00593E6E">
        <w:lastRenderedPageBreak/>
        <w:t xml:space="preserve">and Budget Circular A-133, </w:t>
      </w:r>
      <w:r w:rsidRPr="00593E6E">
        <w:rPr>
          <w:rStyle w:val="footnoteref"/>
          <w:i/>
          <w:iCs/>
        </w:rPr>
        <w:t>Audits of States, Local Governments, and Non-Profit Organizations</w:t>
      </w:r>
      <w:r w:rsidR="00400929" w:rsidRPr="00593E6E">
        <w:rPr>
          <w:rStyle w:val="footnoteref"/>
          <w:i/>
          <w:iCs/>
        </w:rPr>
        <w:t xml:space="preserve"> and </w:t>
      </w:r>
      <w:r w:rsidRPr="00593E6E">
        <w:t xml:space="preserve">is not a required part of the financial statements. </w:t>
      </w:r>
      <w:r w:rsidR="00400929" w:rsidRPr="00593E6E">
        <w:rPr>
          <w:lang w:eastAsia="ja-JP"/>
        </w:rPr>
        <w:t xml:space="preserve">The </w:t>
      </w:r>
      <w:r w:rsidR="00400929" w:rsidRPr="00593E6E">
        <w:t>federal awards expenditure schedule is</w:t>
      </w:r>
      <w:r w:rsidR="00400929" w:rsidRPr="00593E6E">
        <w:rPr>
          <w:lang w:eastAsia="ja-JP"/>
        </w:rPr>
        <w:t xml:space="preserve"> management’s responsibility, and was derived from and relates directly to the underlying accounting and other records used to prepare the financial statements.  </w:t>
      </w:r>
      <w:r w:rsidRPr="00593E6E">
        <w:t xml:space="preserve"> </w:t>
      </w:r>
      <w:r w:rsidR="00400929" w:rsidRPr="00593E6E">
        <w:rPr>
          <w:lang w:eastAsia="ja-JP"/>
        </w:rPr>
        <w:t xml:space="preserve">This </w:t>
      </w:r>
      <w:r w:rsidR="00400929" w:rsidRPr="00593E6E">
        <w:t xml:space="preserve">schedule was subject to the auditing procedures we applied to the financial statements.  We also </w:t>
      </w:r>
      <w:r w:rsidR="00400929" w:rsidRPr="00593E6E">
        <w:rPr>
          <w:lang w:eastAsia="ja-JP"/>
        </w:rPr>
        <w:t>applied certain additional procedures, including comparing and reconciling this information directly to the underlying accounting and other records used to prepare the financial statements or to the financial statements themselves, in accordance with auditing standards generally accepted in the United States of America.</w:t>
      </w:r>
      <w:r w:rsidR="00400929" w:rsidRPr="00593E6E">
        <w:t xml:space="preserve">  </w:t>
      </w:r>
      <w:r w:rsidR="00D63783" w:rsidRPr="00593E6E">
        <w:t xml:space="preserve">For reasons stated in the third paragraph, the financial statements do not present fairly, in conformity with accounting principles generally accepted in the </w:t>
      </w:r>
      <w:r w:rsidR="00984807" w:rsidRPr="00593E6E">
        <w:t>United States of America</w:t>
      </w:r>
      <w:r w:rsidR="00D63783" w:rsidRPr="00593E6E">
        <w:t>, the financial position of the Government, as of [</w:t>
      </w:r>
      <w:r w:rsidR="00875D78" w:rsidRPr="00593E6E">
        <w:rPr>
          <w:color w:val="000000"/>
          <w:szCs w:val="20"/>
        </w:rPr>
        <w:t>FYE DATE</w:t>
      </w:r>
      <w:r w:rsidR="00D63783" w:rsidRPr="00593E6E">
        <w:t xml:space="preserve">], or </w:t>
      </w:r>
      <w:r w:rsidR="00160F03" w:rsidRPr="00593E6E">
        <w:t>its</w:t>
      </w:r>
      <w:r w:rsidR="00D63783" w:rsidRPr="00593E6E">
        <w:t xml:space="preserve"> changes in finan</w:t>
      </w:r>
      <w:r w:rsidR="00177343" w:rsidRPr="00593E6E">
        <w:t>cial position or its cash flows</w:t>
      </w:r>
      <w:r w:rsidR="00D63783" w:rsidRPr="00593E6E">
        <w:t xml:space="preserve"> for</w:t>
      </w:r>
      <w:r w:rsidR="00D63783" w:rsidRPr="00177343">
        <w:t xml:space="preserve"> the year then ended.  Therefore</w:t>
      </w:r>
      <w:r w:rsidR="00177343" w:rsidRPr="00177343">
        <w:t xml:space="preserve"> </w:t>
      </w:r>
      <w:r w:rsidR="00D8796C" w:rsidRPr="00177343">
        <w:rPr>
          <w:szCs w:val="20"/>
        </w:rPr>
        <w:t>we are unable to express, and we do not express, an opinion on the Federal Awards</w:t>
      </w:r>
      <w:r w:rsidR="00AA18B3">
        <w:rPr>
          <w:szCs w:val="20"/>
        </w:rPr>
        <w:t xml:space="preserve"> Expenditure</w:t>
      </w:r>
      <w:r w:rsidR="007140A4">
        <w:rPr>
          <w:szCs w:val="20"/>
        </w:rPr>
        <w:t xml:space="preserve"> Schedule</w:t>
      </w:r>
      <w:r w:rsidR="00D8796C" w:rsidRPr="00177343">
        <w:rPr>
          <w:szCs w:val="20"/>
        </w:rPr>
        <w:t>.</w:t>
      </w:r>
    </w:p>
    <w:p w:rsidR="00D8796C" w:rsidRPr="00F549B2" w:rsidRDefault="00D8796C" w:rsidP="00D8796C">
      <w:pPr>
        <w:widowControl/>
        <w:tabs>
          <w:tab w:val="left" w:pos="0"/>
          <w:tab w:val="left" w:pos="547"/>
          <w:tab w:val="left" w:pos="936"/>
          <w:tab w:val="left" w:pos="1440"/>
          <w:tab w:val="left" w:pos="1987"/>
        </w:tabs>
        <w:jc w:val="both"/>
        <w:rPr>
          <w:color w:val="000000"/>
          <w:szCs w:val="20"/>
        </w:rPr>
      </w:pPr>
    </w:p>
    <w:p w:rsidR="00DD379A" w:rsidRPr="00F549B2" w:rsidRDefault="00DD379A" w:rsidP="00DD379A">
      <w:pPr>
        <w:widowControl/>
        <w:tabs>
          <w:tab w:val="left" w:pos="0"/>
          <w:tab w:val="left" w:pos="547"/>
          <w:tab w:val="left" w:pos="936"/>
          <w:tab w:val="left" w:pos="1440"/>
          <w:tab w:val="left" w:pos="1987"/>
        </w:tabs>
        <w:rPr>
          <w:color w:val="000000"/>
          <w:szCs w:val="20"/>
        </w:rPr>
      </w:pPr>
    </w:p>
    <w:p w:rsidR="00DD379A" w:rsidRDefault="00DD379A" w:rsidP="00DD379A">
      <w:pPr>
        <w:widowControl/>
        <w:tabs>
          <w:tab w:val="left" w:pos="0"/>
          <w:tab w:val="left" w:pos="547"/>
          <w:tab w:val="left" w:pos="936"/>
          <w:tab w:val="left" w:pos="1440"/>
          <w:tab w:val="left" w:pos="1987"/>
        </w:tabs>
        <w:rPr>
          <w:color w:val="000000"/>
          <w:szCs w:val="20"/>
        </w:rPr>
      </w:pPr>
    </w:p>
    <w:p w:rsidR="00400929" w:rsidRPr="00F549B2" w:rsidRDefault="00400929" w:rsidP="00DD379A">
      <w:pPr>
        <w:widowControl/>
        <w:tabs>
          <w:tab w:val="left" w:pos="0"/>
          <w:tab w:val="left" w:pos="547"/>
          <w:tab w:val="left" w:pos="936"/>
          <w:tab w:val="left" w:pos="1440"/>
          <w:tab w:val="left" w:pos="1987"/>
        </w:tabs>
        <w:rPr>
          <w:color w:val="000000"/>
          <w:szCs w:val="20"/>
        </w:rPr>
      </w:pPr>
    </w:p>
    <w:p w:rsidR="00DD379A" w:rsidRDefault="00DD379A" w:rsidP="00DD379A">
      <w:pPr>
        <w:widowControl/>
        <w:tabs>
          <w:tab w:val="left" w:pos="0"/>
          <w:tab w:val="left" w:pos="547"/>
          <w:tab w:val="left" w:pos="936"/>
          <w:tab w:val="left" w:pos="1440"/>
          <w:tab w:val="left" w:pos="1987"/>
        </w:tabs>
        <w:rPr>
          <w:color w:val="000000"/>
          <w:szCs w:val="20"/>
        </w:rPr>
      </w:pPr>
    </w:p>
    <w:p w:rsidR="00733CCA" w:rsidRPr="00F549B2" w:rsidRDefault="00733CCA" w:rsidP="00DD379A">
      <w:pPr>
        <w:widowControl/>
        <w:tabs>
          <w:tab w:val="left" w:pos="0"/>
          <w:tab w:val="left" w:pos="547"/>
          <w:tab w:val="left" w:pos="936"/>
          <w:tab w:val="left" w:pos="1440"/>
          <w:tab w:val="left" w:pos="1987"/>
        </w:tabs>
        <w:rPr>
          <w:color w:val="000000"/>
          <w:szCs w:val="20"/>
        </w:rPr>
      </w:pPr>
    </w:p>
    <w:p w:rsidR="00660547" w:rsidRPr="00D84570" w:rsidRDefault="00660547" w:rsidP="00660547">
      <w:pPr>
        <w:tabs>
          <w:tab w:val="left" w:pos="0"/>
          <w:tab w:val="left" w:pos="547"/>
          <w:tab w:val="left" w:pos="936"/>
          <w:tab w:val="left" w:pos="1440"/>
          <w:tab w:val="left" w:pos="1987"/>
        </w:tabs>
        <w:rPr>
          <w:color w:val="000000"/>
          <w:szCs w:val="20"/>
        </w:rPr>
      </w:pPr>
      <w:r>
        <w:rPr>
          <w:b/>
          <w:bCs/>
          <w:color w:val="000000"/>
          <w:szCs w:val="20"/>
        </w:rPr>
        <w:t>Auditor’s Signature</w:t>
      </w:r>
    </w:p>
    <w:p w:rsidR="00DD379A" w:rsidRPr="00F549B2" w:rsidRDefault="00DD379A" w:rsidP="00DD379A">
      <w:pPr>
        <w:widowControl/>
        <w:tabs>
          <w:tab w:val="left" w:pos="0"/>
          <w:tab w:val="left" w:pos="547"/>
          <w:tab w:val="left" w:pos="936"/>
          <w:tab w:val="left" w:pos="1440"/>
          <w:tab w:val="left" w:pos="1987"/>
        </w:tabs>
        <w:jc w:val="both"/>
        <w:rPr>
          <w:color w:val="000000"/>
          <w:szCs w:val="20"/>
        </w:rPr>
      </w:pPr>
    </w:p>
    <w:p w:rsidR="00DD379A" w:rsidRPr="00F549B2" w:rsidRDefault="00DD379A" w:rsidP="00DD379A">
      <w:pPr>
        <w:widowControl/>
        <w:tabs>
          <w:tab w:val="left" w:pos="0"/>
          <w:tab w:val="left" w:pos="547"/>
          <w:tab w:val="left" w:pos="936"/>
          <w:tab w:val="left" w:pos="1440"/>
          <w:tab w:val="left" w:pos="1987"/>
        </w:tabs>
        <w:jc w:val="both"/>
        <w:rPr>
          <w:color w:val="000000"/>
          <w:szCs w:val="20"/>
        </w:rPr>
      </w:pPr>
    </w:p>
    <w:p w:rsidR="000B02DD" w:rsidRDefault="00DD379A" w:rsidP="00DD379A">
      <w:pPr>
        <w:widowControl/>
        <w:tabs>
          <w:tab w:val="left" w:pos="0"/>
          <w:tab w:val="left" w:pos="547"/>
          <w:tab w:val="left" w:pos="936"/>
          <w:tab w:val="left" w:pos="1440"/>
          <w:tab w:val="left" w:pos="1987"/>
        </w:tabs>
        <w:rPr>
          <w:rStyle w:val="footnoteref"/>
          <w:color w:val="000000"/>
          <w:szCs w:val="20"/>
        </w:rPr>
      </w:pPr>
      <w:r w:rsidRPr="00F549B2">
        <w:rPr>
          <w:rStyle w:val="footnoteref"/>
          <w:color w:val="000000"/>
          <w:szCs w:val="20"/>
        </w:rPr>
        <w:t>[REPORT DATE]</w:t>
      </w:r>
    </w:p>
    <w:p w:rsidR="00DA6828" w:rsidRDefault="00DA6828" w:rsidP="00DD379A">
      <w:pPr>
        <w:widowControl/>
        <w:tabs>
          <w:tab w:val="left" w:pos="0"/>
          <w:tab w:val="left" w:pos="547"/>
          <w:tab w:val="left" w:pos="936"/>
          <w:tab w:val="left" w:pos="1440"/>
          <w:tab w:val="left" w:pos="1987"/>
        </w:tabs>
        <w:rPr>
          <w:rStyle w:val="footnoteref"/>
          <w:color w:val="000000"/>
          <w:szCs w:val="20"/>
        </w:rPr>
      </w:pPr>
    </w:p>
    <w:p w:rsidR="00D5459E" w:rsidRDefault="00DA6828" w:rsidP="00DD379A">
      <w:pPr>
        <w:widowControl/>
        <w:tabs>
          <w:tab w:val="left" w:pos="0"/>
          <w:tab w:val="left" w:pos="547"/>
          <w:tab w:val="left" w:pos="936"/>
          <w:tab w:val="left" w:pos="1440"/>
          <w:tab w:val="left" w:pos="1987"/>
        </w:tabs>
        <w:rPr>
          <w:rStyle w:val="footnoteref"/>
          <w:color w:val="FF0000"/>
          <w:szCs w:val="20"/>
        </w:rPr>
      </w:pPr>
      <w:r w:rsidRPr="00DA6828">
        <w:rPr>
          <w:rStyle w:val="footnoteref"/>
          <w:color w:val="FF0000"/>
          <w:szCs w:val="20"/>
        </w:rPr>
        <w:t>Do not use the “restricted use” paragraph with this opinion.</w:t>
      </w:r>
    </w:p>
    <w:p w:rsidR="00D5459E" w:rsidRDefault="00D5459E">
      <w:pPr>
        <w:widowControl/>
        <w:autoSpaceDE/>
        <w:autoSpaceDN/>
        <w:adjustRightInd/>
        <w:rPr>
          <w:rStyle w:val="footnoteref"/>
          <w:color w:val="FF0000"/>
          <w:szCs w:val="20"/>
        </w:rPr>
      </w:pPr>
      <w:r>
        <w:rPr>
          <w:rStyle w:val="footnoteref"/>
          <w:color w:val="FF0000"/>
          <w:szCs w:val="20"/>
        </w:rPr>
        <w:br w:type="page"/>
      </w:r>
    </w:p>
    <w:p w:rsidR="00DA6828" w:rsidRPr="00DA6828" w:rsidRDefault="00DA6828" w:rsidP="00DD379A">
      <w:pPr>
        <w:widowControl/>
        <w:tabs>
          <w:tab w:val="left" w:pos="0"/>
          <w:tab w:val="left" w:pos="547"/>
          <w:tab w:val="left" w:pos="936"/>
          <w:tab w:val="left" w:pos="1440"/>
          <w:tab w:val="left" w:pos="1987"/>
        </w:tabs>
        <w:rPr>
          <w:color w:val="FF0000"/>
          <w:szCs w:val="20"/>
        </w:rPr>
      </w:pPr>
    </w:p>
    <w:sectPr w:rsidR="00DA6828" w:rsidRPr="00DA6828" w:rsidSect="00F549B2">
      <w:headerReference w:type="default" r:id="rId10"/>
      <w:footerReference w:type="default" r:id="rId11"/>
      <w:endnotePr>
        <w:numFmt w:val="decimal"/>
      </w:endnotePr>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E3" w:rsidRDefault="001C04E3">
      <w:r>
        <w:separator/>
      </w:r>
    </w:p>
  </w:endnote>
  <w:endnote w:type="continuationSeparator" w:id="0">
    <w:p w:rsidR="001C04E3" w:rsidRDefault="001C04E3">
      <w:r>
        <w:continuationSeparator/>
      </w:r>
    </w:p>
  </w:endnote>
  <w:endnote w:id="1">
    <w:p w:rsidR="002455FD" w:rsidRDefault="002455FD" w:rsidP="006510EA">
      <w:pPr>
        <w:pStyle w:val="EndnoteText"/>
        <w:tabs>
          <w:tab w:val="left" w:pos="0"/>
          <w:tab w:val="left" w:pos="547"/>
          <w:tab w:val="left" w:pos="936"/>
          <w:tab w:val="left" w:pos="1440"/>
          <w:tab w:val="left" w:pos="1987"/>
        </w:tabs>
        <w:ind w:left="547" w:hanging="547"/>
        <w:jc w:val="both"/>
      </w:pPr>
      <w:r w:rsidRPr="00C656C0">
        <w:rPr>
          <w:rStyle w:val="EndnoteReference"/>
        </w:rPr>
        <w:endnoteRef/>
      </w:r>
      <w:r w:rsidRPr="00C656C0">
        <w:t xml:space="preserve"> </w:t>
      </w:r>
      <w:r w:rsidRPr="00C656C0">
        <w:rPr>
          <w:vertAlign w:val="superscript"/>
        </w:rPr>
        <w:t xml:space="preserve"> </w:t>
      </w:r>
      <w:r w:rsidRPr="00C656C0">
        <w:rPr>
          <w:vertAlign w:val="superscript"/>
        </w:rPr>
        <w:tab/>
      </w:r>
      <w:r w:rsidRPr="00C656C0">
        <w:t xml:space="preserve">Use this opinion for AOS basis governments </w:t>
      </w:r>
      <w:r w:rsidRPr="00C656C0">
        <w:rPr>
          <w:b/>
          <w:color w:val="FF0000"/>
        </w:rPr>
        <w:t>not required</w:t>
      </w:r>
      <w:r w:rsidRPr="00C656C0">
        <w:t xml:space="preserve"> to follow GAAP </w:t>
      </w:r>
      <w:r w:rsidRPr="004D7F52">
        <w:rPr>
          <w:u w:val="single"/>
        </w:rPr>
        <w:t>and</w:t>
      </w:r>
      <w:r w:rsidRPr="00C656C0">
        <w:t xml:space="preserve"> which do not present “OCBOA 34” statements.)  </w:t>
      </w:r>
    </w:p>
    <w:p w:rsidR="002455FD" w:rsidRPr="00C656C0" w:rsidRDefault="002455FD" w:rsidP="006510EA">
      <w:pPr>
        <w:pStyle w:val="EndnoteText"/>
        <w:tabs>
          <w:tab w:val="left" w:pos="0"/>
          <w:tab w:val="left" w:pos="547"/>
          <w:tab w:val="left" w:pos="936"/>
          <w:tab w:val="left" w:pos="1440"/>
          <w:tab w:val="left" w:pos="1987"/>
        </w:tabs>
        <w:ind w:left="547" w:hanging="547"/>
        <w:jc w:val="both"/>
      </w:pPr>
    </w:p>
  </w:endnote>
  <w:endnote w:id="2">
    <w:p w:rsidR="002455FD" w:rsidRDefault="002455FD" w:rsidP="001A5E6F">
      <w:pPr>
        <w:pStyle w:val="EndnoteText"/>
        <w:tabs>
          <w:tab w:val="left" w:pos="600"/>
        </w:tabs>
      </w:pPr>
      <w:r>
        <w:rPr>
          <w:rStyle w:val="EndnoteReference"/>
        </w:rPr>
        <w:endnoteRef/>
      </w:r>
      <w:r>
        <w:t xml:space="preserve"> </w:t>
      </w:r>
      <w:r>
        <w:tab/>
        <w:t>Insert, “, a component unit of [NAME OF PRIMARY GOVERNMENT],” if applicable.</w:t>
      </w:r>
    </w:p>
    <w:p w:rsidR="002455FD" w:rsidRDefault="002455FD" w:rsidP="001A5E6F">
      <w:pPr>
        <w:pStyle w:val="EndnoteText"/>
        <w:tabs>
          <w:tab w:val="left" w:pos="600"/>
        </w:tabs>
      </w:pPr>
    </w:p>
  </w:endnote>
  <w:endnote w:id="3">
    <w:p w:rsidR="002455FD" w:rsidRPr="00DE5BAD" w:rsidRDefault="002455FD" w:rsidP="000925F1">
      <w:pPr>
        <w:pStyle w:val="EndnoteText"/>
        <w:ind w:left="540" w:hanging="540"/>
      </w:pPr>
      <w:r w:rsidRPr="00DE5BAD">
        <w:rPr>
          <w:rStyle w:val="EndnoteReference"/>
        </w:rPr>
        <w:endnoteRef/>
      </w:r>
      <w:r w:rsidRPr="00DE5BAD">
        <w:t xml:space="preserve">         For qualified opinions with a </w:t>
      </w:r>
      <w:proofErr w:type="gramStart"/>
      <w:r w:rsidRPr="00DE5BAD">
        <w:t>scope</w:t>
      </w:r>
      <w:proofErr w:type="gramEnd"/>
      <w:r w:rsidRPr="00DE5BAD">
        <w:t xml:space="preserve"> limitation insert description of the limitation here and include “Except as noted below’ at the beginning of paragraph two.</w:t>
      </w:r>
    </w:p>
    <w:p w:rsidR="002455FD" w:rsidRPr="00DE5BAD" w:rsidRDefault="002455FD" w:rsidP="000925F1">
      <w:pPr>
        <w:pStyle w:val="EndnoteText"/>
        <w:ind w:left="540"/>
      </w:pPr>
    </w:p>
    <w:p w:rsidR="002455FD" w:rsidRPr="00DE5BAD" w:rsidRDefault="002455FD" w:rsidP="009F28E6">
      <w:pPr>
        <w:pStyle w:val="EndnoteText"/>
        <w:ind w:left="540"/>
      </w:pPr>
      <w:r w:rsidRPr="00DE5BAD">
        <w:t>Example scope limitation:</w:t>
      </w:r>
    </w:p>
    <w:p w:rsidR="002455FD" w:rsidRPr="00DE5BAD" w:rsidRDefault="002455FD" w:rsidP="009F28E6">
      <w:pPr>
        <w:widowControl/>
        <w:ind w:left="720"/>
        <w:jc w:val="both"/>
      </w:pPr>
      <w:r w:rsidRPr="00DE5BAD">
        <w:rPr>
          <w:szCs w:val="20"/>
        </w:rPr>
        <w:t xml:space="preserve">We were unable to obtain sufficient evidential matter supporting the amounts recorded as municipal income taxes and charges for services receipts. Municipal income taxes are reported at $XXX, and $YYY for the years ended December 31, 20EE and 20BB, respectively, which are XX percent of General Fund receipts for the year ended December 31, 20EE, and YY percent of General Fund receipts for the year ended December 31, 20BB. Charges for services  receipts are reported at $ZZ and $AA for the years ended December 31, 20EE and 20BB respectively, which is BB percent of total Enterprise Fund operating receipts for the year ended December 31, 20EE, and CC percent of total Enterprise Fund </w:t>
      </w:r>
      <w:r w:rsidRPr="0097232D">
        <w:rPr>
          <w:szCs w:val="20"/>
        </w:rPr>
        <w:t>operating receipts for the year ended December 31, 20BB. We were unable to determine the</w:t>
      </w:r>
      <w:r>
        <w:rPr>
          <w:szCs w:val="20"/>
        </w:rPr>
        <w:t xml:space="preserve"> completeness or accuracy</w:t>
      </w:r>
      <w:r w:rsidRPr="00DE5BAD">
        <w:rPr>
          <w:szCs w:val="20"/>
        </w:rPr>
        <w:t xml:space="preserve"> of municipal income taxes and utility receipts through alternative procedures.</w:t>
      </w:r>
    </w:p>
    <w:p w:rsidR="002455FD" w:rsidRPr="00DE5BAD" w:rsidRDefault="002455FD" w:rsidP="009F28E6">
      <w:pPr>
        <w:pStyle w:val="EndnoteText"/>
        <w:ind w:left="540"/>
      </w:pPr>
    </w:p>
    <w:p w:rsidR="002455FD" w:rsidRPr="00DE5BAD" w:rsidRDefault="002455FD" w:rsidP="009F28E6">
      <w:pPr>
        <w:pStyle w:val="EndnoteText"/>
        <w:ind w:left="540"/>
      </w:pPr>
      <w:r w:rsidRPr="00DE5BAD">
        <w:t>Example modifications to the applicable opinion unit paragraphs:</w:t>
      </w:r>
    </w:p>
    <w:p w:rsidR="002455FD" w:rsidRPr="00DE5BAD" w:rsidRDefault="002455FD" w:rsidP="009F28E6">
      <w:pPr>
        <w:widowControl/>
        <w:ind w:left="720"/>
        <w:jc w:val="both"/>
        <w:rPr>
          <w:b/>
          <w:i/>
          <w:color w:val="7030A0"/>
          <w:szCs w:val="20"/>
        </w:rPr>
      </w:pPr>
      <w:r w:rsidRPr="00DE5BAD">
        <w:rPr>
          <w:szCs w:val="20"/>
        </w:rPr>
        <w:t xml:space="preserve">Also, in our opinion, except for the effects adjustments, if any, that might have been required had we been able to examine </w:t>
      </w:r>
      <w:r>
        <w:rPr>
          <w:szCs w:val="20"/>
        </w:rPr>
        <w:t xml:space="preserve">sufficient appropriate </w:t>
      </w:r>
      <w:r w:rsidRPr="00DE5BAD">
        <w:rPr>
          <w:szCs w:val="20"/>
        </w:rPr>
        <w:t>evidence regarding municipal income taxes and utility receipts</w:t>
      </w:r>
      <w:r>
        <w:rPr>
          <w:szCs w:val="20"/>
        </w:rPr>
        <w:t xml:space="preserve"> as</w:t>
      </w:r>
      <w:r w:rsidRPr="00DE5BAD">
        <w:rPr>
          <w:szCs w:val="20"/>
        </w:rPr>
        <w:t xml:space="preserve"> described in paragraph X, the financial statements referred to above present fairly, in all material respects, the combined fund cash balances and reserves for encumbrances of the General and Enterprise Funds of [ENTITY NAME], [COUNTY NAME], as of December 31, 20EE and 20BB and their combined cash receipts and disbursements for the years then ended on the accounting basis Note 1 describes.  </w:t>
      </w:r>
      <w:r w:rsidRPr="00DE5BAD">
        <w:rPr>
          <w:b/>
          <w:i/>
          <w:color w:val="7030A0"/>
          <w:szCs w:val="20"/>
        </w:rPr>
        <w:t xml:space="preserve">Insert an additional opinion paragraph for other combined fund types to which this qualification does </w:t>
      </w:r>
      <w:r w:rsidRPr="00DE5BAD">
        <w:rPr>
          <w:b/>
          <w:i/>
          <w:color w:val="7030A0"/>
          <w:szCs w:val="20"/>
          <w:u w:val="single"/>
        </w:rPr>
        <w:t>not</w:t>
      </w:r>
      <w:r w:rsidRPr="00DE5BAD">
        <w:rPr>
          <w:b/>
          <w:i/>
          <w:color w:val="7030A0"/>
          <w:szCs w:val="20"/>
        </w:rPr>
        <w:t xml:space="preserve"> apply.</w:t>
      </w:r>
    </w:p>
    <w:p w:rsidR="002455FD" w:rsidRPr="00DE5BAD" w:rsidRDefault="002455FD" w:rsidP="000925F1">
      <w:pPr>
        <w:pStyle w:val="EndnoteText"/>
      </w:pPr>
    </w:p>
    <w:p w:rsidR="002455FD" w:rsidRPr="00DE5BAD" w:rsidRDefault="002455FD" w:rsidP="000925F1">
      <w:pPr>
        <w:pStyle w:val="EndnoteText"/>
      </w:pPr>
      <w:r w:rsidRPr="00DE5BAD">
        <w:t xml:space="preserve">          As a reminder, refer to this in the first paragraph in the GAGAS letter, too.  Example:</w:t>
      </w:r>
    </w:p>
    <w:p w:rsidR="002455FD" w:rsidRDefault="002455FD" w:rsidP="000925F1">
      <w:pPr>
        <w:widowControl/>
        <w:ind w:left="720"/>
        <w:jc w:val="both"/>
        <w:rPr>
          <w:szCs w:val="20"/>
        </w:rPr>
      </w:pPr>
      <w:r w:rsidRPr="00DE5BAD">
        <w:rPr>
          <w:szCs w:val="20"/>
        </w:rPr>
        <w:t xml:space="preserve">We have audited the financial statements of the [ENTITY NAME], [COUNTY NAME], (the Government) as of and for the year ended December 31, 20EE, and have issued our report thereon dated </w:t>
      </w:r>
      <w:r w:rsidRPr="00DE5BAD">
        <w:rPr>
          <w:lang w:eastAsia="ja-JP"/>
        </w:rPr>
        <w:t>[REPORT DATE],</w:t>
      </w:r>
      <w:r w:rsidRPr="00DE5BAD">
        <w:rPr>
          <w:szCs w:val="20"/>
        </w:rPr>
        <w:t xml:space="preserve"> wherein we noted the Government followed accounting practices the Auditor of State prescribes rather than accounting principles generally accepted in the United States of America. We qualified our opinion due to the lack of sufficient</w:t>
      </w:r>
      <w:r>
        <w:rPr>
          <w:szCs w:val="20"/>
        </w:rPr>
        <w:t xml:space="preserve">, appropriate </w:t>
      </w:r>
      <w:r w:rsidRPr="00DE5BAD">
        <w:rPr>
          <w:szCs w:val="20"/>
        </w:rPr>
        <w:t xml:space="preserve"> evidential matter for the amounts reported as municipal income taxes </w:t>
      </w:r>
      <w:r>
        <w:rPr>
          <w:szCs w:val="20"/>
        </w:rPr>
        <w:t>for</w:t>
      </w:r>
      <w:r w:rsidRPr="00DE5BAD">
        <w:rPr>
          <w:szCs w:val="20"/>
        </w:rPr>
        <w:t xml:space="preserve"> the General Fund and utility revenues for the Enterprise Fund.  Except as discussed in the preceding sentence, we conducted our audit in accordance with auditing standards generally accepted in the United States of America and the standards applicable to financial audits contained in the Comptroller General of the United States’ </w:t>
      </w:r>
      <w:r w:rsidRPr="00DE5BAD">
        <w:rPr>
          <w:i/>
          <w:iCs/>
          <w:szCs w:val="20"/>
        </w:rPr>
        <w:t>Government Auditing Standards</w:t>
      </w:r>
      <w:r w:rsidRPr="00DE5BAD">
        <w:rPr>
          <w:szCs w:val="20"/>
        </w:rPr>
        <w:t>.</w:t>
      </w:r>
    </w:p>
    <w:p w:rsidR="002455FD" w:rsidRDefault="002455FD" w:rsidP="000925F1">
      <w:pPr>
        <w:widowControl/>
        <w:ind w:left="720"/>
      </w:pPr>
    </w:p>
    <w:p w:rsidR="002455FD" w:rsidRDefault="002455FD" w:rsidP="00B6608B">
      <w:pPr>
        <w:widowControl/>
        <w:ind w:left="540"/>
        <w:rPr>
          <w:b/>
        </w:rPr>
      </w:pPr>
      <w:r w:rsidRPr="00B6608B">
        <w:rPr>
          <w:b/>
        </w:rPr>
        <w:t>These examples are for AOS basis reporting and should be modified accordingly for OCBOA basis reporting.</w:t>
      </w:r>
    </w:p>
    <w:p w:rsidR="002455FD" w:rsidRPr="00B6608B" w:rsidRDefault="002455FD" w:rsidP="00B6608B">
      <w:pPr>
        <w:widowControl/>
        <w:ind w:left="540"/>
        <w:rPr>
          <w:b/>
        </w:rPr>
      </w:pPr>
    </w:p>
  </w:endnote>
  <w:endnote w:id="4">
    <w:p w:rsidR="002455FD" w:rsidRDefault="002455FD" w:rsidP="00481C31">
      <w:pPr>
        <w:pStyle w:val="EndnoteText"/>
        <w:tabs>
          <w:tab w:val="left" w:pos="0"/>
          <w:tab w:val="left" w:pos="547"/>
          <w:tab w:val="left" w:pos="936"/>
          <w:tab w:val="left" w:pos="1440"/>
          <w:tab w:val="left" w:pos="1987"/>
        </w:tabs>
        <w:ind w:left="547" w:hanging="547"/>
        <w:jc w:val="both"/>
      </w:pPr>
      <w:r w:rsidRPr="00D5459E">
        <w:rPr>
          <w:vertAlign w:val="superscript"/>
        </w:rPr>
        <w:endnoteRef/>
      </w:r>
      <w:r w:rsidRPr="00C656C0">
        <w:t xml:space="preserve"> </w:t>
      </w:r>
      <w:r>
        <w:tab/>
      </w:r>
      <w:r w:rsidRPr="00F95983">
        <w:t>The cash basis report</w:t>
      </w:r>
      <w:r>
        <w:t>s only cash and</w:t>
      </w:r>
      <w:r w:rsidRPr="00A53C31">
        <w:t xml:space="preserve"> cash equivalents</w:t>
      </w:r>
      <w:r>
        <w:t xml:space="preserve"> as assets</w:t>
      </w:r>
      <w:r w:rsidRPr="00A53C31">
        <w:t xml:space="preserve">.  Since we permit governments to include all investments </w:t>
      </w:r>
      <w:r>
        <w:t xml:space="preserve">ORC 135 </w:t>
      </w:r>
      <w:r w:rsidRPr="00A53C31">
        <w:t>authorize</w:t>
      </w:r>
      <w:r>
        <w:t>s</w:t>
      </w:r>
      <w:r w:rsidRPr="00A53C31">
        <w:t>, Ohio governments can use a cash basis</w:t>
      </w:r>
      <w:r>
        <w:t xml:space="preserve">, </w:t>
      </w:r>
      <w:r w:rsidRPr="001D3B19">
        <w:rPr>
          <w:b/>
          <w:color w:val="FF0000"/>
        </w:rPr>
        <w:t xml:space="preserve">modified </w:t>
      </w:r>
      <w:r>
        <w:t>to include ORC 135 long-term investments</w:t>
      </w:r>
      <w:r w:rsidRPr="00A53C31">
        <w:t>.</w:t>
      </w:r>
    </w:p>
    <w:p w:rsidR="002455FD" w:rsidRPr="00A53C31" w:rsidRDefault="002455FD" w:rsidP="00481C31">
      <w:pPr>
        <w:pStyle w:val="EndnoteText"/>
        <w:tabs>
          <w:tab w:val="left" w:pos="0"/>
          <w:tab w:val="left" w:pos="547"/>
          <w:tab w:val="left" w:pos="936"/>
          <w:tab w:val="left" w:pos="1440"/>
          <w:tab w:val="left" w:pos="1987"/>
        </w:tabs>
        <w:ind w:left="547" w:hanging="547"/>
        <w:jc w:val="both"/>
      </w:pPr>
    </w:p>
  </w:endnote>
  <w:endnote w:id="5">
    <w:p w:rsidR="002455FD" w:rsidRDefault="002455FD" w:rsidP="00481C31">
      <w:pPr>
        <w:pStyle w:val="EndnoteText"/>
        <w:tabs>
          <w:tab w:val="left" w:pos="0"/>
          <w:tab w:val="left" w:pos="547"/>
          <w:tab w:val="left" w:pos="936"/>
          <w:tab w:val="left" w:pos="1440"/>
          <w:tab w:val="left" w:pos="1987"/>
        </w:tabs>
        <w:ind w:left="547" w:hanging="547"/>
        <w:jc w:val="both"/>
      </w:pPr>
      <w:r w:rsidRPr="00C656C0">
        <w:rPr>
          <w:rStyle w:val="EndnoteReference"/>
        </w:rPr>
        <w:endnoteRef/>
      </w:r>
      <w:r w:rsidRPr="00C656C0">
        <w:t xml:space="preserve"> </w:t>
      </w:r>
      <w:r>
        <w:rPr>
          <w:vertAlign w:val="superscript"/>
        </w:rPr>
        <w:tab/>
      </w:r>
      <w:r w:rsidRPr="00A53C31">
        <w:t xml:space="preserve">We adopted this example from the AICPA’s </w:t>
      </w:r>
      <w:r w:rsidRPr="00A53C31">
        <w:rPr>
          <w:i/>
        </w:rPr>
        <w:t xml:space="preserve">Applying OCBOA in State and Local Governmental Financial Statements. </w:t>
      </w:r>
      <w:r w:rsidRPr="00A53C31">
        <w:t xml:space="preserve"> </w:t>
      </w:r>
    </w:p>
    <w:p w:rsidR="00660547" w:rsidRPr="00A53C31" w:rsidRDefault="00660547" w:rsidP="00481C31">
      <w:pPr>
        <w:pStyle w:val="EndnoteText"/>
        <w:tabs>
          <w:tab w:val="left" w:pos="0"/>
          <w:tab w:val="left" w:pos="547"/>
          <w:tab w:val="left" w:pos="936"/>
          <w:tab w:val="left" w:pos="1440"/>
          <w:tab w:val="left" w:pos="1987"/>
        </w:tabs>
        <w:ind w:left="547" w:hanging="547"/>
        <w:jc w:val="both"/>
      </w:pPr>
    </w:p>
  </w:endnote>
  <w:endnote w:id="6">
    <w:p w:rsidR="002455FD" w:rsidRPr="00A53C31" w:rsidRDefault="002455FD" w:rsidP="00481C31">
      <w:pPr>
        <w:pStyle w:val="EndnoteText"/>
        <w:tabs>
          <w:tab w:val="left" w:pos="0"/>
          <w:tab w:val="left" w:pos="547"/>
          <w:tab w:val="left" w:pos="936"/>
          <w:tab w:val="left" w:pos="1440"/>
          <w:tab w:val="left" w:pos="1987"/>
        </w:tabs>
        <w:ind w:left="547" w:hanging="547"/>
        <w:jc w:val="both"/>
      </w:pPr>
      <w:r w:rsidRPr="00C656C0">
        <w:rPr>
          <w:rStyle w:val="EndnoteReference"/>
        </w:rPr>
        <w:endnoteRef/>
      </w:r>
      <w:r w:rsidRPr="00C656C0">
        <w:t xml:space="preserve"> </w:t>
      </w:r>
      <w:r>
        <w:rPr>
          <w:vertAlign w:val="superscript"/>
        </w:rPr>
        <w:tab/>
      </w:r>
      <w:r w:rsidRPr="00A53C31">
        <w:t xml:space="preserve">If we combine </w:t>
      </w:r>
      <w:r w:rsidRPr="00FA77CA">
        <w:rPr>
          <w:i/>
        </w:rPr>
        <w:t>discrete component units</w:t>
      </w:r>
      <w:r w:rsidRPr="00A53C31">
        <w:t xml:space="preserve"> and </w:t>
      </w:r>
      <w:r w:rsidRPr="00FA77CA">
        <w:rPr>
          <w:i/>
        </w:rPr>
        <w:t>remaining fund information</w:t>
      </w:r>
      <w:r w:rsidRPr="00A53C31">
        <w:t xml:space="preserve"> into one opinion unit under the circumstances permi</w:t>
      </w:r>
      <w:r>
        <w:t>tted by footnote 7 to Exhibit 4</w:t>
      </w:r>
      <w:r w:rsidRPr="00D5459E">
        <w:t>-</w:t>
      </w:r>
      <w:r w:rsidRPr="00A53C31">
        <w:t xml:space="preserve">1 </w:t>
      </w:r>
      <w:r w:rsidRPr="00D5459E">
        <w:t>(following section 4.32)</w:t>
      </w:r>
      <w:r>
        <w:t xml:space="preserve"> </w:t>
      </w:r>
      <w:r w:rsidRPr="00A53C31">
        <w:t>in SLG, revise this phrase as follows:</w:t>
      </w:r>
    </w:p>
    <w:p w:rsidR="002455FD" w:rsidRPr="00A53C31" w:rsidRDefault="002455FD" w:rsidP="00481C31">
      <w:pPr>
        <w:pStyle w:val="EndnoteText"/>
        <w:tabs>
          <w:tab w:val="left" w:pos="0"/>
          <w:tab w:val="left" w:pos="547"/>
          <w:tab w:val="left" w:pos="936"/>
          <w:tab w:val="left" w:pos="1440"/>
          <w:tab w:val="left" w:pos="1987"/>
        </w:tabs>
        <w:jc w:val="both"/>
      </w:pPr>
    </w:p>
    <w:p w:rsidR="002455FD" w:rsidRPr="00A53C31" w:rsidRDefault="002455FD" w:rsidP="00481C31">
      <w:pPr>
        <w:pStyle w:val="EndnoteText"/>
        <w:tabs>
          <w:tab w:val="left" w:pos="0"/>
          <w:tab w:val="left" w:pos="547"/>
          <w:tab w:val="left" w:pos="936"/>
          <w:tab w:val="left" w:pos="1440"/>
          <w:tab w:val="left" w:pos="1987"/>
        </w:tabs>
        <w:ind w:left="547"/>
        <w:jc w:val="both"/>
      </w:pPr>
      <w:r w:rsidRPr="00A53C31">
        <w:t xml:space="preserve">“ . . . governmental activities, the business-type activities, each major fund and the </w:t>
      </w:r>
      <w:r w:rsidRPr="00A53C31">
        <w:rPr>
          <w:b/>
        </w:rPr>
        <w:t>[aggregate</w:t>
      </w:r>
      <w:r w:rsidRPr="00A53C31">
        <w:t>] discretely presented component unit and remaining fund information . . . “</w:t>
      </w:r>
    </w:p>
    <w:p w:rsidR="002455FD" w:rsidRPr="00A53C31" w:rsidRDefault="002455FD" w:rsidP="00481C31">
      <w:pPr>
        <w:pStyle w:val="EndnoteText"/>
        <w:tabs>
          <w:tab w:val="left" w:pos="0"/>
          <w:tab w:val="left" w:pos="547"/>
          <w:tab w:val="left" w:pos="936"/>
          <w:tab w:val="left" w:pos="1440"/>
          <w:tab w:val="left" w:pos="1987"/>
        </w:tabs>
        <w:jc w:val="both"/>
      </w:pPr>
    </w:p>
  </w:endnote>
  <w:endnote w:id="7">
    <w:p w:rsidR="002455FD" w:rsidRDefault="002455FD" w:rsidP="00481C31">
      <w:pPr>
        <w:pStyle w:val="EndnoteText"/>
        <w:tabs>
          <w:tab w:val="left" w:pos="540"/>
        </w:tabs>
        <w:jc w:val="both"/>
      </w:pPr>
      <w:r w:rsidRPr="00C656C0">
        <w:rPr>
          <w:rStyle w:val="EndnoteReference"/>
        </w:rPr>
        <w:endnoteRef/>
      </w:r>
      <w:r w:rsidRPr="00C656C0">
        <w:rPr>
          <w:sz w:val="18"/>
          <w:szCs w:val="18"/>
        </w:rPr>
        <w:t xml:space="preserve"> </w:t>
      </w:r>
      <w:r>
        <w:tab/>
        <w:t>Insert, “, a component unit of [NAME OF PRIMARY GOVERNMENT],” if applicable.</w:t>
      </w:r>
    </w:p>
    <w:p w:rsidR="002455FD" w:rsidRDefault="002455FD" w:rsidP="00481C31">
      <w:pPr>
        <w:pStyle w:val="EndnoteText"/>
        <w:tabs>
          <w:tab w:val="left" w:pos="540"/>
        </w:tabs>
        <w:jc w:val="both"/>
      </w:pPr>
    </w:p>
  </w:endnote>
  <w:endnote w:id="8">
    <w:p w:rsidR="002455FD" w:rsidRDefault="002455FD" w:rsidP="00481C31">
      <w:pPr>
        <w:pStyle w:val="EndnoteText"/>
        <w:tabs>
          <w:tab w:val="left" w:pos="0"/>
          <w:tab w:val="left" w:pos="547"/>
          <w:tab w:val="left" w:pos="936"/>
          <w:tab w:val="left" w:pos="1440"/>
          <w:tab w:val="left" w:pos="1987"/>
        </w:tabs>
        <w:ind w:left="547" w:hanging="547"/>
        <w:jc w:val="both"/>
      </w:pPr>
      <w:r w:rsidRPr="00C656C0">
        <w:rPr>
          <w:rStyle w:val="EndnoteReference"/>
        </w:rPr>
        <w:endnoteRef/>
      </w:r>
      <w:r w:rsidRPr="00A53C31">
        <w:t xml:space="preserve"> </w:t>
      </w:r>
      <w:r>
        <w:tab/>
      </w:r>
      <w:r w:rsidRPr="00995068">
        <w:t>If we divide responsibility per AU 543, follow the opinion modifications in Briefcase Example GASB 34 A09.</w:t>
      </w:r>
    </w:p>
    <w:p w:rsidR="002455FD" w:rsidRPr="00A53C31" w:rsidRDefault="002455FD" w:rsidP="00481C31">
      <w:pPr>
        <w:pStyle w:val="EndnoteText"/>
        <w:tabs>
          <w:tab w:val="left" w:pos="0"/>
          <w:tab w:val="left" w:pos="547"/>
          <w:tab w:val="left" w:pos="936"/>
          <w:tab w:val="left" w:pos="1440"/>
          <w:tab w:val="left" w:pos="1987"/>
        </w:tabs>
        <w:ind w:left="547" w:hanging="547"/>
        <w:jc w:val="both"/>
      </w:pPr>
    </w:p>
  </w:endnote>
  <w:endnote w:id="9">
    <w:p w:rsidR="002455FD" w:rsidRDefault="002455FD" w:rsidP="00FA77CA">
      <w:pPr>
        <w:pStyle w:val="EndnoteText"/>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593E6E">
        <w:t>Insert “and where applicable, cash flows,” if a cash flow statement is presented.  If all funds present cash flow statements, delete the phrase “where applicable.”</w:t>
      </w:r>
    </w:p>
    <w:p w:rsidR="002455FD" w:rsidRPr="00EE2ECE" w:rsidRDefault="002455FD" w:rsidP="00FA77CA">
      <w:pPr>
        <w:pStyle w:val="EndnoteText"/>
        <w:tabs>
          <w:tab w:val="left" w:pos="0"/>
          <w:tab w:val="left" w:pos="547"/>
          <w:tab w:val="left" w:pos="936"/>
          <w:tab w:val="left" w:pos="1440"/>
          <w:tab w:val="left" w:pos="1987"/>
        </w:tabs>
        <w:ind w:left="547" w:hanging="547"/>
      </w:pPr>
    </w:p>
  </w:endnote>
  <w:endnote w:id="10">
    <w:p w:rsidR="002455FD" w:rsidRPr="00FB0523" w:rsidRDefault="002455FD" w:rsidP="006510EA">
      <w:pPr>
        <w:pStyle w:val="EndnoteText"/>
        <w:tabs>
          <w:tab w:val="left" w:pos="0"/>
          <w:tab w:val="left" w:pos="547"/>
          <w:tab w:val="left" w:pos="936"/>
          <w:tab w:val="left" w:pos="1440"/>
          <w:tab w:val="left" w:pos="1987"/>
        </w:tabs>
        <w:ind w:left="547" w:hanging="547"/>
        <w:jc w:val="both"/>
      </w:pPr>
      <w:r w:rsidRPr="00D5459E">
        <w:rPr>
          <w:rStyle w:val="EndnoteReference"/>
        </w:rPr>
        <w:endnoteRef/>
      </w:r>
      <w:r w:rsidRPr="00D5459E">
        <w:rPr>
          <w:rStyle w:val="EndnoteReference"/>
        </w:rPr>
        <w:t xml:space="preserve"> </w:t>
      </w:r>
      <w:r w:rsidRPr="00D5459E">
        <w:tab/>
      </w:r>
      <w:r w:rsidRPr="00FB0523">
        <w:rPr>
          <w:rStyle w:val="EndnoteReference"/>
          <w:vertAlign w:val="baseline"/>
        </w:rPr>
        <w:t xml:space="preserve">Delete reference to the budgetary comparisons from the opinion paragraph, and refer to it in a supplementary information </w:t>
      </w:r>
      <w:r w:rsidRPr="00FB0523">
        <w:t>paragraph</w:t>
      </w:r>
      <w:r w:rsidRPr="00FB0523">
        <w:rPr>
          <w:rStyle w:val="EndnoteReference"/>
          <w:vertAlign w:val="baseline"/>
        </w:rPr>
        <w:t xml:space="preserve"> </w:t>
      </w:r>
      <w:r w:rsidRPr="00FB0523">
        <w:t xml:space="preserve">(see footnote 13) </w:t>
      </w:r>
      <w:r w:rsidRPr="00FB0523">
        <w:rPr>
          <w:rStyle w:val="EndnoteReference"/>
          <w:vertAlign w:val="baseline"/>
        </w:rPr>
        <w:t>if the budgetary comparisons are presented as SI.</w:t>
      </w:r>
      <w:r w:rsidRPr="00FB0523">
        <w:t xml:space="preserve"> </w:t>
      </w:r>
    </w:p>
    <w:p w:rsidR="002455FD" w:rsidRPr="00D5459E" w:rsidRDefault="002455FD" w:rsidP="006510EA">
      <w:pPr>
        <w:pStyle w:val="EndnoteText"/>
        <w:tabs>
          <w:tab w:val="left" w:pos="0"/>
          <w:tab w:val="left" w:pos="547"/>
          <w:tab w:val="left" w:pos="936"/>
          <w:tab w:val="left" w:pos="1440"/>
          <w:tab w:val="left" w:pos="1987"/>
        </w:tabs>
        <w:ind w:left="547" w:hanging="547"/>
        <w:jc w:val="both"/>
        <w:rPr>
          <w:rStyle w:val="EndnoteReference"/>
          <w:vertAlign w:val="baseline"/>
        </w:rPr>
      </w:pPr>
    </w:p>
  </w:endnote>
  <w:endnote w:id="11">
    <w:p w:rsidR="002455FD" w:rsidRPr="00FB0523" w:rsidRDefault="002455FD" w:rsidP="00FB0523">
      <w:pPr>
        <w:pStyle w:val="EndnoteText"/>
        <w:ind w:left="540" w:hanging="540"/>
        <w:rPr>
          <w:bCs/>
        </w:rPr>
      </w:pPr>
      <w:r w:rsidRPr="00FB0523">
        <w:rPr>
          <w:rStyle w:val="EndnoteReference"/>
        </w:rPr>
        <w:endnoteRef/>
      </w:r>
      <w:r>
        <w:t xml:space="preserve">        </w:t>
      </w:r>
      <w:r w:rsidRPr="00FB0523">
        <w:t xml:space="preserve">We modified the last paragraph of the OCBOA example, per </w:t>
      </w:r>
      <w:r w:rsidRPr="00FB0523">
        <w:rPr>
          <w:bCs/>
        </w:rPr>
        <w:t xml:space="preserve">SLG 15.05, which changed  due to SAS 118 --- 120.  As a result, OCBOA presentations cannot classify </w:t>
      </w:r>
      <w:r w:rsidRPr="00FB0523">
        <w:rPr>
          <w:bCs/>
          <w:u w:val="single"/>
        </w:rPr>
        <w:t>any</w:t>
      </w:r>
      <w:r w:rsidRPr="00FB0523">
        <w:rPr>
          <w:bCs/>
        </w:rPr>
        <w:t xml:space="preserve"> information (such as MD&amp;A or budget schedules) as RSI.      </w:t>
      </w:r>
    </w:p>
    <w:p w:rsidR="002455FD" w:rsidRPr="00FB0523" w:rsidRDefault="002455FD" w:rsidP="00FB0523">
      <w:pPr>
        <w:pStyle w:val="EndnoteText"/>
        <w:ind w:left="540" w:hanging="540"/>
        <w:rPr>
          <w:b/>
          <w:bCs/>
          <w:color w:val="252525"/>
          <w:sz w:val="18"/>
          <w:szCs w:val="18"/>
        </w:rPr>
      </w:pPr>
    </w:p>
    <w:p w:rsidR="002455FD" w:rsidRPr="00FB0523" w:rsidRDefault="002455FD" w:rsidP="00FB0523">
      <w:pPr>
        <w:pStyle w:val="EndnoteText"/>
        <w:ind w:left="540"/>
        <w:rPr>
          <w:bCs/>
        </w:rPr>
      </w:pPr>
      <w:r w:rsidRPr="00FB0523">
        <w:rPr>
          <w:bCs/>
        </w:rPr>
        <w:t>We  modified the last paragraph to report on “RSI” as follows:</w:t>
      </w:r>
    </w:p>
    <w:p w:rsidR="002455FD" w:rsidRPr="00FB0523" w:rsidRDefault="002455FD" w:rsidP="00FB0523">
      <w:pPr>
        <w:pStyle w:val="EndnoteText"/>
        <w:ind w:left="1440" w:hanging="810"/>
        <w:rPr>
          <w:bCs/>
        </w:rPr>
      </w:pPr>
    </w:p>
    <w:p w:rsidR="002455FD" w:rsidRPr="00FB0523" w:rsidRDefault="002455FD" w:rsidP="00FB0523">
      <w:pPr>
        <w:pStyle w:val="EndnoteText"/>
        <w:numPr>
          <w:ilvl w:val="0"/>
          <w:numId w:val="8"/>
        </w:numPr>
        <w:ind w:left="1440" w:hanging="810"/>
        <w:rPr>
          <w:bCs/>
        </w:rPr>
      </w:pPr>
      <w:r w:rsidRPr="00FB0523">
        <w:rPr>
          <w:bCs/>
        </w:rPr>
        <w:t xml:space="preserve">We report on MD&amp;A </w:t>
      </w:r>
      <w:r w:rsidRPr="00FB0523">
        <w:rPr>
          <w:b/>
          <w:bCs/>
          <w:i/>
        </w:rPr>
        <w:t>tables</w:t>
      </w:r>
      <w:r w:rsidRPr="00FB0523">
        <w:rPr>
          <w:bCs/>
        </w:rPr>
        <w:t xml:space="preserve"> derived from the statements as </w:t>
      </w:r>
      <w:r w:rsidRPr="00FB0523">
        <w:rPr>
          <w:i/>
        </w:rPr>
        <w:t>Supplementary Information in Relation to the Financial Statements as a Whole</w:t>
      </w:r>
      <w:r w:rsidRPr="00FB0523">
        <w:t>, per AU 551.</w:t>
      </w:r>
    </w:p>
    <w:p w:rsidR="002455FD" w:rsidRPr="00FB0523" w:rsidRDefault="002455FD" w:rsidP="00FB0523">
      <w:pPr>
        <w:pStyle w:val="EndnoteText"/>
        <w:numPr>
          <w:ilvl w:val="0"/>
          <w:numId w:val="8"/>
        </w:numPr>
        <w:ind w:left="1440" w:hanging="810"/>
        <w:rPr>
          <w:bCs/>
        </w:rPr>
      </w:pPr>
      <w:r w:rsidRPr="00FB0523">
        <w:t xml:space="preserve">We disclaim on the remainder of MD&amp;A (such as the text), per </w:t>
      </w:r>
      <w:r w:rsidRPr="00FB0523">
        <w:rPr>
          <w:i/>
        </w:rPr>
        <w:t>Other Information in Documents Containing Audited Financial Statements,</w:t>
      </w:r>
      <w:r w:rsidRPr="00FB0523">
        <w:t xml:space="preserve"> per AU 550.</w:t>
      </w:r>
    </w:p>
    <w:p w:rsidR="002455FD" w:rsidRPr="00FB0523" w:rsidRDefault="002455FD" w:rsidP="00FB0523">
      <w:pPr>
        <w:pStyle w:val="EndnoteText"/>
        <w:numPr>
          <w:ilvl w:val="0"/>
          <w:numId w:val="8"/>
        </w:numPr>
        <w:ind w:left="1440" w:hanging="810"/>
        <w:rPr>
          <w:bCs/>
        </w:rPr>
      </w:pPr>
      <w:r w:rsidRPr="00FB0523">
        <w:t xml:space="preserve">The OCBOA example assumes the auditee presented budgetary schedules with the statements.  If presented as </w:t>
      </w:r>
      <w:r w:rsidRPr="00FB0523">
        <w:rPr>
          <w:i/>
        </w:rPr>
        <w:t>supplementary information</w:t>
      </w:r>
      <w:r w:rsidRPr="00FB0523">
        <w:t>, modify this paragraph to describe procedures similar to those we apply to MD&amp;A tables.</w:t>
      </w:r>
    </w:p>
    <w:p w:rsidR="002455FD" w:rsidRPr="00FB0523" w:rsidRDefault="002455FD" w:rsidP="00FB0523">
      <w:pPr>
        <w:pStyle w:val="EndnoteText"/>
        <w:numPr>
          <w:ilvl w:val="0"/>
          <w:numId w:val="8"/>
        </w:numPr>
        <w:ind w:left="1440" w:hanging="810"/>
        <w:rPr>
          <w:bCs/>
        </w:rPr>
      </w:pPr>
      <w:r w:rsidRPr="00FB0523">
        <w:rPr>
          <w:bCs/>
        </w:rPr>
        <w:t>If the auditee does not present MD&amp;A with OCBOA financial statements, auditors should not consider this an exception because the SLG indicates it is not a requirement.</w:t>
      </w:r>
    </w:p>
    <w:p w:rsidR="002455FD" w:rsidRPr="00981831" w:rsidRDefault="002455FD" w:rsidP="00DE5BAD">
      <w:pPr>
        <w:pStyle w:val="EndnoteText"/>
        <w:rPr>
          <w:sz w:val="18"/>
          <w:szCs w:val="18"/>
        </w:rPr>
      </w:pPr>
    </w:p>
  </w:endnote>
  <w:endnote w:id="12">
    <w:p w:rsidR="002455FD" w:rsidRPr="00593E6E" w:rsidRDefault="002455FD" w:rsidP="00400929">
      <w:pPr>
        <w:tabs>
          <w:tab w:val="left" w:pos="540"/>
          <w:tab w:val="left" w:pos="936"/>
          <w:tab w:val="left" w:pos="1440"/>
          <w:tab w:val="left" w:pos="1987"/>
        </w:tabs>
        <w:ind w:left="540" w:hanging="540"/>
      </w:pPr>
      <w:r w:rsidRPr="00593E6E">
        <w:rPr>
          <w:rStyle w:val="EndnoteReference"/>
          <w:szCs w:val="20"/>
        </w:rPr>
        <w:endnoteRef/>
      </w:r>
      <w:r w:rsidRPr="00593E6E">
        <w:t xml:space="preserve">       Modify the list of </w:t>
      </w:r>
      <w:r w:rsidRPr="00593E6E">
        <w:rPr>
          <w:i/>
        </w:rPr>
        <w:t>supplementary information</w:t>
      </w:r>
      <w:r w:rsidRPr="00593E6E">
        <w:t xml:space="preserve"> paragraph as necessary.  Also:</w:t>
      </w:r>
    </w:p>
    <w:p w:rsidR="002455FD" w:rsidRPr="00593E6E" w:rsidRDefault="002455FD" w:rsidP="00400929">
      <w:pPr>
        <w:pStyle w:val="EndnoteText"/>
        <w:widowControl/>
        <w:numPr>
          <w:ilvl w:val="0"/>
          <w:numId w:val="6"/>
        </w:numPr>
        <w:tabs>
          <w:tab w:val="left" w:pos="547"/>
        </w:tabs>
        <w:autoSpaceDE/>
        <w:autoSpaceDN/>
        <w:adjustRightInd/>
      </w:pPr>
      <w:r w:rsidRPr="00593E6E">
        <w:rPr>
          <w:color w:val="000000"/>
        </w:rPr>
        <w:t xml:space="preserve">If an opinion qualification on the financial statements also affects the supplementary information, include a statement that, in the auditor's opinion, </w:t>
      </w:r>
      <w:r w:rsidRPr="00593E6E">
        <w:rPr>
          <w:b/>
          <w:i/>
          <w:color w:val="000000"/>
        </w:rPr>
        <w:t>except for</w:t>
      </w:r>
      <w:r w:rsidRPr="00593E6E">
        <w:rPr>
          <w:color w:val="000000"/>
        </w:rPr>
        <w:t xml:space="preserve"> the effects on the supplementary information of (refer to the paragraph in the auditor's report explaining the qualification), this information is fairly stated, in all material respects, in relation to the financial statements as a whole.</w:t>
      </w:r>
      <w:r w:rsidRPr="00593E6E">
        <w:t xml:space="preserve">   </w:t>
      </w:r>
      <w:r w:rsidRPr="00593E6E">
        <w:rPr>
          <w:color w:val="000000"/>
        </w:rPr>
        <w:t>See AU 551.09(f).</w:t>
      </w:r>
    </w:p>
    <w:p w:rsidR="002455FD" w:rsidRPr="00593E6E" w:rsidRDefault="002455FD" w:rsidP="00400929">
      <w:pPr>
        <w:pStyle w:val="EndnoteText"/>
        <w:tabs>
          <w:tab w:val="left" w:pos="547"/>
        </w:tabs>
        <w:ind w:left="1800"/>
      </w:pPr>
    </w:p>
    <w:p w:rsidR="002455FD" w:rsidRPr="00593E6E" w:rsidRDefault="002455FD" w:rsidP="00400929">
      <w:pPr>
        <w:pStyle w:val="EndnoteText"/>
        <w:widowControl/>
        <w:numPr>
          <w:ilvl w:val="0"/>
          <w:numId w:val="6"/>
        </w:numPr>
        <w:tabs>
          <w:tab w:val="left" w:pos="547"/>
        </w:tabs>
        <w:autoSpaceDE/>
        <w:autoSpaceDN/>
        <w:adjustRightInd/>
      </w:pPr>
      <w:r w:rsidRPr="00593E6E">
        <w:t xml:space="preserve">We must disclaim on this information if we render an adverse opinion or disclaimer of opinion.  </w:t>
      </w:r>
    </w:p>
    <w:p w:rsidR="002455FD" w:rsidRPr="00593E6E" w:rsidRDefault="002455FD" w:rsidP="00400929">
      <w:pPr>
        <w:pStyle w:val="ListParagraph"/>
      </w:pPr>
    </w:p>
    <w:p w:rsidR="002455FD" w:rsidRPr="00593E6E" w:rsidRDefault="002455FD" w:rsidP="00400929">
      <w:pPr>
        <w:pStyle w:val="EndnoteText"/>
        <w:widowControl/>
        <w:numPr>
          <w:ilvl w:val="0"/>
          <w:numId w:val="6"/>
        </w:numPr>
        <w:tabs>
          <w:tab w:val="left" w:pos="547"/>
        </w:tabs>
        <w:autoSpaceDE/>
        <w:autoSpaceDN/>
        <w:adjustRightInd/>
      </w:pPr>
      <w:r w:rsidRPr="00593E6E">
        <w:rPr>
          <w:b/>
          <w:i/>
        </w:rPr>
        <w:t xml:space="preserve">Important: </w:t>
      </w:r>
      <w:r w:rsidRPr="00593E6E">
        <w:t xml:space="preserve"> </w:t>
      </w:r>
      <w:bookmarkStart w:id="3" w:name="keyword"/>
      <w:r w:rsidRPr="00593E6E">
        <w:t xml:space="preserve">We normally consider </w:t>
      </w:r>
      <w:r w:rsidRPr="00593E6E">
        <w:rPr>
          <w:color w:val="000000"/>
        </w:rPr>
        <w:t>materiality for each opinion unit. However, our in-relation-to opinion on supplementary information is in relation to the financial statements as a whole. Therefore we consider materiality at a level representing the entire governmental</w:t>
      </w:r>
      <w:bookmarkStart w:id="4" w:name="lastkeyword"/>
      <w:bookmarkEnd w:id="3"/>
      <w:bookmarkEnd w:id="4"/>
      <w:r w:rsidRPr="00593E6E">
        <w:rPr>
          <w:color w:val="000000"/>
        </w:rPr>
        <w:t xml:space="preserve"> entity.</w:t>
      </w:r>
    </w:p>
    <w:p w:rsidR="002455FD" w:rsidRPr="00593E6E" w:rsidRDefault="002455FD">
      <w:pPr>
        <w:pStyle w:val="EndnoteText"/>
      </w:pPr>
    </w:p>
  </w:endnote>
  <w:endnote w:id="13">
    <w:p w:rsidR="002455FD" w:rsidRPr="00593E6E" w:rsidRDefault="002455FD" w:rsidP="00FA77CA">
      <w:pPr>
        <w:pStyle w:val="EndnoteText"/>
        <w:tabs>
          <w:tab w:val="left" w:pos="0"/>
          <w:tab w:val="left" w:pos="547"/>
          <w:tab w:val="left" w:pos="936"/>
          <w:tab w:val="left" w:pos="1440"/>
          <w:tab w:val="left" w:pos="1987"/>
        </w:tabs>
      </w:pPr>
      <w:r w:rsidRPr="00593E6E">
        <w:rPr>
          <w:rStyle w:val="EndnoteReference"/>
        </w:rPr>
        <w:endnoteRef/>
      </w:r>
      <w:r w:rsidRPr="00593E6E">
        <w:t xml:space="preserve"> </w:t>
      </w:r>
      <w:r w:rsidRPr="00593E6E">
        <w:tab/>
        <w:t>Insert, “, a component unit of [NAME OF PRIMARY GOVERNMENT],” if applicable.</w:t>
      </w:r>
    </w:p>
    <w:p w:rsidR="002455FD" w:rsidRPr="00593E6E" w:rsidRDefault="002455FD" w:rsidP="00FA77CA">
      <w:pPr>
        <w:pStyle w:val="EndnoteText"/>
      </w:pPr>
    </w:p>
  </w:endnote>
  <w:endnote w:id="14">
    <w:p w:rsidR="002455FD" w:rsidRDefault="002455FD" w:rsidP="00400929">
      <w:pPr>
        <w:pStyle w:val="EndnoteText"/>
        <w:tabs>
          <w:tab w:val="left" w:pos="0"/>
          <w:tab w:val="left" w:pos="547"/>
          <w:tab w:val="left" w:pos="936"/>
          <w:tab w:val="left" w:pos="1440"/>
          <w:tab w:val="left" w:pos="1987"/>
        </w:tabs>
        <w:ind w:left="547" w:hanging="547"/>
      </w:pPr>
      <w:r w:rsidRPr="00593E6E">
        <w:rPr>
          <w:rStyle w:val="EndnoteReference"/>
        </w:rPr>
        <w:endnoteRef/>
      </w:r>
      <w:r w:rsidRPr="00593E6E">
        <w:t xml:space="preserve">       Delete the reference to cash flows if none should have been presented.</w:t>
      </w:r>
      <w:r w:rsidRPr="00EE2ECE">
        <w:t xml:space="preserve">  </w:t>
      </w:r>
    </w:p>
    <w:p w:rsidR="002455FD" w:rsidRDefault="002455FD">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FD" w:rsidRPr="00A82FE2" w:rsidRDefault="00C72524" w:rsidP="00433866">
    <w:pPr>
      <w:pStyle w:val="Footer"/>
      <w:jc w:val="center"/>
      <w:rPr>
        <w:szCs w:val="20"/>
      </w:rPr>
    </w:pPr>
    <w:r w:rsidRPr="00A82FE2">
      <w:rPr>
        <w:rStyle w:val="PageNumber"/>
        <w:szCs w:val="20"/>
      </w:rPr>
      <w:fldChar w:fldCharType="begin"/>
    </w:r>
    <w:r w:rsidR="002455FD" w:rsidRPr="00A82FE2">
      <w:rPr>
        <w:rStyle w:val="PageNumber"/>
        <w:szCs w:val="20"/>
      </w:rPr>
      <w:instrText xml:space="preserve"> PAGE </w:instrText>
    </w:r>
    <w:r w:rsidRPr="00A82FE2">
      <w:rPr>
        <w:rStyle w:val="PageNumber"/>
        <w:szCs w:val="20"/>
      </w:rPr>
      <w:fldChar w:fldCharType="separate"/>
    </w:r>
    <w:r w:rsidR="00660547">
      <w:rPr>
        <w:rStyle w:val="PageNumber"/>
        <w:noProof/>
        <w:szCs w:val="20"/>
      </w:rPr>
      <w:t>2</w:t>
    </w:r>
    <w:r w:rsidRPr="00A82FE2">
      <w:rPr>
        <w:rStyle w:val="PageNumber"/>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FD" w:rsidRPr="00A82FE2" w:rsidRDefault="00C72524" w:rsidP="00433866">
    <w:pPr>
      <w:pStyle w:val="Footer"/>
      <w:jc w:val="center"/>
      <w:rPr>
        <w:szCs w:val="20"/>
      </w:rPr>
    </w:pPr>
    <w:r w:rsidRPr="00A82FE2">
      <w:rPr>
        <w:rStyle w:val="PageNumber"/>
        <w:szCs w:val="20"/>
      </w:rPr>
      <w:fldChar w:fldCharType="begin"/>
    </w:r>
    <w:r w:rsidR="002455FD" w:rsidRPr="00A82FE2">
      <w:rPr>
        <w:rStyle w:val="PageNumber"/>
        <w:szCs w:val="20"/>
      </w:rPr>
      <w:instrText xml:space="preserve"> PAGE </w:instrText>
    </w:r>
    <w:r w:rsidRPr="00A82FE2">
      <w:rPr>
        <w:rStyle w:val="PageNumber"/>
        <w:szCs w:val="20"/>
      </w:rPr>
      <w:fldChar w:fldCharType="separate"/>
    </w:r>
    <w:r w:rsidR="00660547">
      <w:rPr>
        <w:rStyle w:val="PageNumber"/>
        <w:noProof/>
        <w:szCs w:val="20"/>
      </w:rPr>
      <w:t>9</w:t>
    </w:r>
    <w:r w:rsidRPr="00A82FE2">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E3" w:rsidRDefault="001C04E3">
      <w:r>
        <w:separator/>
      </w:r>
    </w:p>
  </w:footnote>
  <w:footnote w:type="continuationSeparator" w:id="0">
    <w:p w:rsidR="001C04E3" w:rsidRDefault="001C0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FD" w:rsidRPr="00433866" w:rsidRDefault="002455FD" w:rsidP="00433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FD" w:rsidRPr="00433866" w:rsidRDefault="002455FD" w:rsidP="004338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3"/>
  </w:num>
  <w:num w:numId="4">
    <w:abstractNumId w:val="6"/>
  </w:num>
  <w:num w:numId="5">
    <w:abstractNumId w:val="2"/>
  </w:num>
  <w:num w:numId="6">
    <w:abstractNumId w:val="5"/>
  </w:num>
  <w:num w:numId="7">
    <w:abstractNumId w:val="8"/>
  </w:num>
  <w:num w:numId="8">
    <w:abstractNumId w:val="0"/>
  </w:num>
  <w:num w:numId="9">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numFmt w:val="decimal"/>
    <w:endnote w:id="-1"/>
    <w:endnote w:id="0"/>
  </w:endnotePr>
  <w:compat/>
  <w:rsids>
    <w:rsidRoot w:val="009E1887"/>
    <w:rsid w:val="000014A1"/>
    <w:rsid w:val="00001845"/>
    <w:rsid w:val="00001867"/>
    <w:rsid w:val="00003359"/>
    <w:rsid w:val="000115F8"/>
    <w:rsid w:val="00012015"/>
    <w:rsid w:val="00013687"/>
    <w:rsid w:val="00020E02"/>
    <w:rsid w:val="000263E4"/>
    <w:rsid w:val="000334CC"/>
    <w:rsid w:val="00033584"/>
    <w:rsid w:val="00037267"/>
    <w:rsid w:val="00042916"/>
    <w:rsid w:val="00046513"/>
    <w:rsid w:val="00065DF2"/>
    <w:rsid w:val="00072419"/>
    <w:rsid w:val="0007303A"/>
    <w:rsid w:val="00087C55"/>
    <w:rsid w:val="000909AD"/>
    <w:rsid w:val="000925F1"/>
    <w:rsid w:val="00097139"/>
    <w:rsid w:val="000A4C37"/>
    <w:rsid w:val="000B02DD"/>
    <w:rsid w:val="000B34A8"/>
    <w:rsid w:val="000D15A1"/>
    <w:rsid w:val="000D391B"/>
    <w:rsid w:val="000D436A"/>
    <w:rsid w:val="000E1162"/>
    <w:rsid w:val="000E330B"/>
    <w:rsid w:val="000E734F"/>
    <w:rsid w:val="000F2E49"/>
    <w:rsid w:val="000F5A04"/>
    <w:rsid w:val="000F6815"/>
    <w:rsid w:val="00102954"/>
    <w:rsid w:val="00112DC4"/>
    <w:rsid w:val="00114DFB"/>
    <w:rsid w:val="0011630C"/>
    <w:rsid w:val="00120BE4"/>
    <w:rsid w:val="001235B7"/>
    <w:rsid w:val="0013294F"/>
    <w:rsid w:val="00133B48"/>
    <w:rsid w:val="0013530A"/>
    <w:rsid w:val="00136CA9"/>
    <w:rsid w:val="00141059"/>
    <w:rsid w:val="00143F6E"/>
    <w:rsid w:val="00147D91"/>
    <w:rsid w:val="00155053"/>
    <w:rsid w:val="00156EAD"/>
    <w:rsid w:val="00160F03"/>
    <w:rsid w:val="00177343"/>
    <w:rsid w:val="00177629"/>
    <w:rsid w:val="001823F8"/>
    <w:rsid w:val="00186AC6"/>
    <w:rsid w:val="00187E4D"/>
    <w:rsid w:val="00191C74"/>
    <w:rsid w:val="00191F0F"/>
    <w:rsid w:val="0019405F"/>
    <w:rsid w:val="00195843"/>
    <w:rsid w:val="00197183"/>
    <w:rsid w:val="001A1252"/>
    <w:rsid w:val="001A2B59"/>
    <w:rsid w:val="001A305E"/>
    <w:rsid w:val="001A5E6F"/>
    <w:rsid w:val="001A71D1"/>
    <w:rsid w:val="001B45C3"/>
    <w:rsid w:val="001C04E3"/>
    <w:rsid w:val="001C096E"/>
    <w:rsid w:val="001C12AB"/>
    <w:rsid w:val="001C67F1"/>
    <w:rsid w:val="001C717C"/>
    <w:rsid w:val="001D0E56"/>
    <w:rsid w:val="001D3B19"/>
    <w:rsid w:val="001E6F8B"/>
    <w:rsid w:val="001F436B"/>
    <w:rsid w:val="001F6E9F"/>
    <w:rsid w:val="00204439"/>
    <w:rsid w:val="00205697"/>
    <w:rsid w:val="002056BD"/>
    <w:rsid w:val="002216C8"/>
    <w:rsid w:val="00232EA4"/>
    <w:rsid w:val="0023303B"/>
    <w:rsid w:val="00236EED"/>
    <w:rsid w:val="00241E49"/>
    <w:rsid w:val="002455FD"/>
    <w:rsid w:val="002475D0"/>
    <w:rsid w:val="002607BF"/>
    <w:rsid w:val="00260C86"/>
    <w:rsid w:val="0026159A"/>
    <w:rsid w:val="00271720"/>
    <w:rsid w:val="00275058"/>
    <w:rsid w:val="00285F6D"/>
    <w:rsid w:val="0029255F"/>
    <w:rsid w:val="00296077"/>
    <w:rsid w:val="002A4126"/>
    <w:rsid w:val="002A63E4"/>
    <w:rsid w:val="002B08A9"/>
    <w:rsid w:val="002B2CED"/>
    <w:rsid w:val="002B65BF"/>
    <w:rsid w:val="002D1E6A"/>
    <w:rsid w:val="002D2470"/>
    <w:rsid w:val="002D7AE9"/>
    <w:rsid w:val="002E0259"/>
    <w:rsid w:val="002E5A60"/>
    <w:rsid w:val="002F1029"/>
    <w:rsid w:val="003144CB"/>
    <w:rsid w:val="003161C1"/>
    <w:rsid w:val="00324FCC"/>
    <w:rsid w:val="00327F74"/>
    <w:rsid w:val="00333B87"/>
    <w:rsid w:val="003442B9"/>
    <w:rsid w:val="00353C32"/>
    <w:rsid w:val="00362598"/>
    <w:rsid w:val="003719E9"/>
    <w:rsid w:val="00372C50"/>
    <w:rsid w:val="00374172"/>
    <w:rsid w:val="0038209B"/>
    <w:rsid w:val="00387E28"/>
    <w:rsid w:val="00394780"/>
    <w:rsid w:val="003A0BD6"/>
    <w:rsid w:val="003A1A56"/>
    <w:rsid w:val="003A21E3"/>
    <w:rsid w:val="003A3A9C"/>
    <w:rsid w:val="003B2545"/>
    <w:rsid w:val="003B2691"/>
    <w:rsid w:val="003B3B2D"/>
    <w:rsid w:val="003C12FB"/>
    <w:rsid w:val="003D692D"/>
    <w:rsid w:val="003E42CA"/>
    <w:rsid w:val="003F160F"/>
    <w:rsid w:val="003F5B4F"/>
    <w:rsid w:val="003F67A2"/>
    <w:rsid w:val="00400929"/>
    <w:rsid w:val="00400E4B"/>
    <w:rsid w:val="00410A79"/>
    <w:rsid w:val="0041130E"/>
    <w:rsid w:val="00424FEE"/>
    <w:rsid w:val="00433866"/>
    <w:rsid w:val="0043672A"/>
    <w:rsid w:val="00440CC3"/>
    <w:rsid w:val="00444932"/>
    <w:rsid w:val="00447E0B"/>
    <w:rsid w:val="00451EF8"/>
    <w:rsid w:val="00454820"/>
    <w:rsid w:val="00454A64"/>
    <w:rsid w:val="00455696"/>
    <w:rsid w:val="00457909"/>
    <w:rsid w:val="0046198C"/>
    <w:rsid w:val="00464F50"/>
    <w:rsid w:val="004713DB"/>
    <w:rsid w:val="004715CB"/>
    <w:rsid w:val="0047788C"/>
    <w:rsid w:val="004801F8"/>
    <w:rsid w:val="00481C31"/>
    <w:rsid w:val="004A1940"/>
    <w:rsid w:val="004A1D52"/>
    <w:rsid w:val="004A305D"/>
    <w:rsid w:val="004A3A31"/>
    <w:rsid w:val="004B139E"/>
    <w:rsid w:val="004B4E69"/>
    <w:rsid w:val="004C2F1B"/>
    <w:rsid w:val="004D33E2"/>
    <w:rsid w:val="004D4094"/>
    <w:rsid w:val="004D7587"/>
    <w:rsid w:val="004D7F52"/>
    <w:rsid w:val="004F4078"/>
    <w:rsid w:val="004F57C5"/>
    <w:rsid w:val="00504F41"/>
    <w:rsid w:val="005070D6"/>
    <w:rsid w:val="005173FF"/>
    <w:rsid w:val="00533F72"/>
    <w:rsid w:val="00534961"/>
    <w:rsid w:val="00535EB9"/>
    <w:rsid w:val="005360EF"/>
    <w:rsid w:val="005405B0"/>
    <w:rsid w:val="00555725"/>
    <w:rsid w:val="00556468"/>
    <w:rsid w:val="00556E92"/>
    <w:rsid w:val="00560FD2"/>
    <w:rsid w:val="00570EB3"/>
    <w:rsid w:val="00571762"/>
    <w:rsid w:val="00573BCE"/>
    <w:rsid w:val="00575D95"/>
    <w:rsid w:val="00585FE7"/>
    <w:rsid w:val="005926A4"/>
    <w:rsid w:val="00593E6E"/>
    <w:rsid w:val="00594712"/>
    <w:rsid w:val="005A0E98"/>
    <w:rsid w:val="005B1554"/>
    <w:rsid w:val="005B18BF"/>
    <w:rsid w:val="005C4F19"/>
    <w:rsid w:val="005C6608"/>
    <w:rsid w:val="005D232B"/>
    <w:rsid w:val="005E28A7"/>
    <w:rsid w:val="005E3457"/>
    <w:rsid w:val="005E4018"/>
    <w:rsid w:val="005E44C9"/>
    <w:rsid w:val="005E57B2"/>
    <w:rsid w:val="005E72CF"/>
    <w:rsid w:val="005F18D5"/>
    <w:rsid w:val="005F7AC8"/>
    <w:rsid w:val="005F7EE0"/>
    <w:rsid w:val="0061225D"/>
    <w:rsid w:val="00615DEB"/>
    <w:rsid w:val="0062183E"/>
    <w:rsid w:val="00623EE9"/>
    <w:rsid w:val="00632B5E"/>
    <w:rsid w:val="00647C95"/>
    <w:rsid w:val="006510EA"/>
    <w:rsid w:val="00660547"/>
    <w:rsid w:val="006644FC"/>
    <w:rsid w:val="00664B42"/>
    <w:rsid w:val="006716D7"/>
    <w:rsid w:val="00673451"/>
    <w:rsid w:val="0067541C"/>
    <w:rsid w:val="0069333A"/>
    <w:rsid w:val="00694440"/>
    <w:rsid w:val="0069470C"/>
    <w:rsid w:val="00694821"/>
    <w:rsid w:val="006A0A80"/>
    <w:rsid w:val="006A2A59"/>
    <w:rsid w:val="006A395F"/>
    <w:rsid w:val="006A41EE"/>
    <w:rsid w:val="006A7A4F"/>
    <w:rsid w:val="006B7E66"/>
    <w:rsid w:val="006C4839"/>
    <w:rsid w:val="006D0E95"/>
    <w:rsid w:val="006D6DBB"/>
    <w:rsid w:val="006E1A94"/>
    <w:rsid w:val="006E41B4"/>
    <w:rsid w:val="006E7FE0"/>
    <w:rsid w:val="006F4250"/>
    <w:rsid w:val="006F5D28"/>
    <w:rsid w:val="006F60B1"/>
    <w:rsid w:val="007013A3"/>
    <w:rsid w:val="00706C69"/>
    <w:rsid w:val="007140A4"/>
    <w:rsid w:val="0072178F"/>
    <w:rsid w:val="00724871"/>
    <w:rsid w:val="00733CCA"/>
    <w:rsid w:val="00735585"/>
    <w:rsid w:val="00736896"/>
    <w:rsid w:val="00740C32"/>
    <w:rsid w:val="00744290"/>
    <w:rsid w:val="00746E81"/>
    <w:rsid w:val="0075601E"/>
    <w:rsid w:val="00756180"/>
    <w:rsid w:val="007630FF"/>
    <w:rsid w:val="00765D75"/>
    <w:rsid w:val="007710A7"/>
    <w:rsid w:val="00773AE7"/>
    <w:rsid w:val="007A0746"/>
    <w:rsid w:val="007A2D33"/>
    <w:rsid w:val="007A3EE5"/>
    <w:rsid w:val="007A4EA3"/>
    <w:rsid w:val="007B5457"/>
    <w:rsid w:val="007B69DD"/>
    <w:rsid w:val="007B6BD0"/>
    <w:rsid w:val="007C0272"/>
    <w:rsid w:val="007C0F31"/>
    <w:rsid w:val="007E1D04"/>
    <w:rsid w:val="007E777D"/>
    <w:rsid w:val="007F084A"/>
    <w:rsid w:val="007F3584"/>
    <w:rsid w:val="008049D3"/>
    <w:rsid w:val="00811445"/>
    <w:rsid w:val="00811DEF"/>
    <w:rsid w:val="00814E8C"/>
    <w:rsid w:val="008246D0"/>
    <w:rsid w:val="00825844"/>
    <w:rsid w:val="00835B62"/>
    <w:rsid w:val="00835CA3"/>
    <w:rsid w:val="00863069"/>
    <w:rsid w:val="0087215E"/>
    <w:rsid w:val="00874AC6"/>
    <w:rsid w:val="00875D78"/>
    <w:rsid w:val="00886A99"/>
    <w:rsid w:val="008873C2"/>
    <w:rsid w:val="008917D7"/>
    <w:rsid w:val="00891983"/>
    <w:rsid w:val="008A3170"/>
    <w:rsid w:val="008A6EF6"/>
    <w:rsid w:val="008B1840"/>
    <w:rsid w:val="008B4060"/>
    <w:rsid w:val="008B46D6"/>
    <w:rsid w:val="008B6777"/>
    <w:rsid w:val="008C00A8"/>
    <w:rsid w:val="008C276D"/>
    <w:rsid w:val="008D1D50"/>
    <w:rsid w:val="008D20F6"/>
    <w:rsid w:val="008D4CA5"/>
    <w:rsid w:val="008E1A6D"/>
    <w:rsid w:val="008F7621"/>
    <w:rsid w:val="00906A23"/>
    <w:rsid w:val="009071F0"/>
    <w:rsid w:val="009150D1"/>
    <w:rsid w:val="0091533E"/>
    <w:rsid w:val="00922CDE"/>
    <w:rsid w:val="00925C05"/>
    <w:rsid w:val="00932DB9"/>
    <w:rsid w:val="00963894"/>
    <w:rsid w:val="00965B3B"/>
    <w:rsid w:val="00965BDB"/>
    <w:rsid w:val="00967C69"/>
    <w:rsid w:val="0097232D"/>
    <w:rsid w:val="0097541B"/>
    <w:rsid w:val="00977EF3"/>
    <w:rsid w:val="00981831"/>
    <w:rsid w:val="00984807"/>
    <w:rsid w:val="0098729B"/>
    <w:rsid w:val="0099182F"/>
    <w:rsid w:val="00994CDD"/>
    <w:rsid w:val="00995068"/>
    <w:rsid w:val="00995F28"/>
    <w:rsid w:val="009B263A"/>
    <w:rsid w:val="009B3D08"/>
    <w:rsid w:val="009B6424"/>
    <w:rsid w:val="009B6BF8"/>
    <w:rsid w:val="009C10DC"/>
    <w:rsid w:val="009C1245"/>
    <w:rsid w:val="009C30CF"/>
    <w:rsid w:val="009C625F"/>
    <w:rsid w:val="009D0220"/>
    <w:rsid w:val="009D3146"/>
    <w:rsid w:val="009D5029"/>
    <w:rsid w:val="009E1887"/>
    <w:rsid w:val="009E3E15"/>
    <w:rsid w:val="009F0207"/>
    <w:rsid w:val="009F2698"/>
    <w:rsid w:val="009F28E6"/>
    <w:rsid w:val="009F7DBF"/>
    <w:rsid w:val="00A0198E"/>
    <w:rsid w:val="00A0679D"/>
    <w:rsid w:val="00A1219E"/>
    <w:rsid w:val="00A22539"/>
    <w:rsid w:val="00A22D88"/>
    <w:rsid w:val="00A3036A"/>
    <w:rsid w:val="00A36AFC"/>
    <w:rsid w:val="00A51508"/>
    <w:rsid w:val="00A53C31"/>
    <w:rsid w:val="00A75170"/>
    <w:rsid w:val="00A754AE"/>
    <w:rsid w:val="00A7576D"/>
    <w:rsid w:val="00A776AD"/>
    <w:rsid w:val="00A902B7"/>
    <w:rsid w:val="00A90971"/>
    <w:rsid w:val="00A97C21"/>
    <w:rsid w:val="00AA18B3"/>
    <w:rsid w:val="00AC2775"/>
    <w:rsid w:val="00AC447D"/>
    <w:rsid w:val="00AC7D05"/>
    <w:rsid w:val="00AD5814"/>
    <w:rsid w:val="00AE75AE"/>
    <w:rsid w:val="00AF73ED"/>
    <w:rsid w:val="00B06B4A"/>
    <w:rsid w:val="00B075E5"/>
    <w:rsid w:val="00B10285"/>
    <w:rsid w:val="00B21CC8"/>
    <w:rsid w:val="00B23224"/>
    <w:rsid w:val="00B24C8A"/>
    <w:rsid w:val="00B254CF"/>
    <w:rsid w:val="00B2727E"/>
    <w:rsid w:val="00B40B08"/>
    <w:rsid w:val="00B40F05"/>
    <w:rsid w:val="00B431FA"/>
    <w:rsid w:val="00B44235"/>
    <w:rsid w:val="00B54653"/>
    <w:rsid w:val="00B600F1"/>
    <w:rsid w:val="00B63422"/>
    <w:rsid w:val="00B6608B"/>
    <w:rsid w:val="00B70AFF"/>
    <w:rsid w:val="00B70DC0"/>
    <w:rsid w:val="00B73FEE"/>
    <w:rsid w:val="00B756DE"/>
    <w:rsid w:val="00B76AE4"/>
    <w:rsid w:val="00B76F37"/>
    <w:rsid w:val="00B87CFD"/>
    <w:rsid w:val="00B95E3D"/>
    <w:rsid w:val="00BA401D"/>
    <w:rsid w:val="00BB39C0"/>
    <w:rsid w:val="00BC0C5A"/>
    <w:rsid w:val="00BC5245"/>
    <w:rsid w:val="00BC73ED"/>
    <w:rsid w:val="00BD1F2A"/>
    <w:rsid w:val="00BD246E"/>
    <w:rsid w:val="00BE0582"/>
    <w:rsid w:val="00BE6681"/>
    <w:rsid w:val="00BE77E8"/>
    <w:rsid w:val="00BE7AC7"/>
    <w:rsid w:val="00BF2D08"/>
    <w:rsid w:val="00C04894"/>
    <w:rsid w:val="00C10B89"/>
    <w:rsid w:val="00C206DE"/>
    <w:rsid w:val="00C20A31"/>
    <w:rsid w:val="00C20B7A"/>
    <w:rsid w:val="00C23513"/>
    <w:rsid w:val="00C26AB4"/>
    <w:rsid w:val="00C32762"/>
    <w:rsid w:val="00C46922"/>
    <w:rsid w:val="00C5199E"/>
    <w:rsid w:val="00C51E66"/>
    <w:rsid w:val="00C60862"/>
    <w:rsid w:val="00C62185"/>
    <w:rsid w:val="00C656C0"/>
    <w:rsid w:val="00C67832"/>
    <w:rsid w:val="00C72524"/>
    <w:rsid w:val="00C74218"/>
    <w:rsid w:val="00C8781E"/>
    <w:rsid w:val="00C91585"/>
    <w:rsid w:val="00CA1DD5"/>
    <w:rsid w:val="00CB0903"/>
    <w:rsid w:val="00CB17C4"/>
    <w:rsid w:val="00CC7C39"/>
    <w:rsid w:val="00CD306E"/>
    <w:rsid w:val="00CD4F50"/>
    <w:rsid w:val="00CF09D4"/>
    <w:rsid w:val="00D10E99"/>
    <w:rsid w:val="00D1519B"/>
    <w:rsid w:val="00D33003"/>
    <w:rsid w:val="00D34D13"/>
    <w:rsid w:val="00D414E1"/>
    <w:rsid w:val="00D43DE8"/>
    <w:rsid w:val="00D47AD7"/>
    <w:rsid w:val="00D5459E"/>
    <w:rsid w:val="00D54A89"/>
    <w:rsid w:val="00D54E2E"/>
    <w:rsid w:val="00D565E5"/>
    <w:rsid w:val="00D61F69"/>
    <w:rsid w:val="00D62125"/>
    <w:rsid w:val="00D63783"/>
    <w:rsid w:val="00D63B58"/>
    <w:rsid w:val="00D671F6"/>
    <w:rsid w:val="00D75BC3"/>
    <w:rsid w:val="00D84570"/>
    <w:rsid w:val="00D85932"/>
    <w:rsid w:val="00D8796C"/>
    <w:rsid w:val="00D90C89"/>
    <w:rsid w:val="00DA41A8"/>
    <w:rsid w:val="00DA6828"/>
    <w:rsid w:val="00DA74B8"/>
    <w:rsid w:val="00DB0F83"/>
    <w:rsid w:val="00DB3DA3"/>
    <w:rsid w:val="00DB634A"/>
    <w:rsid w:val="00DC199F"/>
    <w:rsid w:val="00DC6FCE"/>
    <w:rsid w:val="00DD1958"/>
    <w:rsid w:val="00DD379A"/>
    <w:rsid w:val="00DD4D52"/>
    <w:rsid w:val="00DE2EAD"/>
    <w:rsid w:val="00DE5BAD"/>
    <w:rsid w:val="00DE7F16"/>
    <w:rsid w:val="00DF01FF"/>
    <w:rsid w:val="00DF0203"/>
    <w:rsid w:val="00DF0D89"/>
    <w:rsid w:val="00DF3FFA"/>
    <w:rsid w:val="00DF46DC"/>
    <w:rsid w:val="00DF631A"/>
    <w:rsid w:val="00E26322"/>
    <w:rsid w:val="00E26ECD"/>
    <w:rsid w:val="00E33EBE"/>
    <w:rsid w:val="00E35EAF"/>
    <w:rsid w:val="00E37525"/>
    <w:rsid w:val="00E37BDD"/>
    <w:rsid w:val="00E40083"/>
    <w:rsid w:val="00E41993"/>
    <w:rsid w:val="00E444FE"/>
    <w:rsid w:val="00E45FDE"/>
    <w:rsid w:val="00E46CFB"/>
    <w:rsid w:val="00E5553F"/>
    <w:rsid w:val="00E6414F"/>
    <w:rsid w:val="00E67EF1"/>
    <w:rsid w:val="00E7056C"/>
    <w:rsid w:val="00E72570"/>
    <w:rsid w:val="00E749EB"/>
    <w:rsid w:val="00E75563"/>
    <w:rsid w:val="00E76393"/>
    <w:rsid w:val="00E8602E"/>
    <w:rsid w:val="00EA36B6"/>
    <w:rsid w:val="00EA7ED1"/>
    <w:rsid w:val="00EC5689"/>
    <w:rsid w:val="00EC7F5E"/>
    <w:rsid w:val="00ED6E9B"/>
    <w:rsid w:val="00EE0122"/>
    <w:rsid w:val="00EE3814"/>
    <w:rsid w:val="00EF4D1D"/>
    <w:rsid w:val="00EF628F"/>
    <w:rsid w:val="00F04BE2"/>
    <w:rsid w:val="00F05E11"/>
    <w:rsid w:val="00F127AE"/>
    <w:rsid w:val="00F17B73"/>
    <w:rsid w:val="00F20562"/>
    <w:rsid w:val="00F245E7"/>
    <w:rsid w:val="00F25C1C"/>
    <w:rsid w:val="00F260F0"/>
    <w:rsid w:val="00F35D84"/>
    <w:rsid w:val="00F370BA"/>
    <w:rsid w:val="00F43AA0"/>
    <w:rsid w:val="00F549B2"/>
    <w:rsid w:val="00F66141"/>
    <w:rsid w:val="00F7066C"/>
    <w:rsid w:val="00F81136"/>
    <w:rsid w:val="00F81BCD"/>
    <w:rsid w:val="00F82EBD"/>
    <w:rsid w:val="00F91B56"/>
    <w:rsid w:val="00F95983"/>
    <w:rsid w:val="00F95A87"/>
    <w:rsid w:val="00F9719E"/>
    <w:rsid w:val="00FA77CA"/>
    <w:rsid w:val="00FA7992"/>
    <w:rsid w:val="00FA7EDA"/>
    <w:rsid w:val="00FB0523"/>
    <w:rsid w:val="00FB0E19"/>
    <w:rsid w:val="00FB435E"/>
    <w:rsid w:val="00FB61CC"/>
    <w:rsid w:val="00FB76B8"/>
    <w:rsid w:val="00FC71DB"/>
    <w:rsid w:val="00FC7E1B"/>
    <w:rsid w:val="00FD6B77"/>
    <w:rsid w:val="00FE1312"/>
    <w:rsid w:val="00FE278F"/>
    <w:rsid w:val="00FE3399"/>
    <w:rsid w:val="00FF0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083"/>
    <w:pPr>
      <w:widowControl w:val="0"/>
      <w:autoSpaceDE w:val="0"/>
      <w:autoSpaceDN w:val="0"/>
      <w:adjustRightInd w:val="0"/>
    </w:pPr>
    <w:rPr>
      <w:rFonts w:ascii="Arial" w:hAnsi="Arial"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semiHidden/>
    <w:rsid w:val="00773AE7"/>
    <w:rPr>
      <w:szCs w:val="20"/>
    </w:rPr>
  </w:style>
  <w:style w:type="paragraph" w:styleId="Header">
    <w:name w:val="header"/>
    <w:basedOn w:val="Normal"/>
    <w:rsid w:val="001C096E"/>
    <w:pPr>
      <w:tabs>
        <w:tab w:val="center" w:pos="4320"/>
        <w:tab w:val="right" w:pos="8640"/>
      </w:tabs>
    </w:pPr>
  </w:style>
  <w:style w:type="paragraph" w:styleId="Footer">
    <w:name w:val="footer"/>
    <w:basedOn w:val="Normal"/>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semiHidden/>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
    <w:aliases w:val="EmailStyle25"/>
    <w:basedOn w:val="DefaultParagraphFont"/>
    <w:semiHidden/>
    <w:personal/>
    <w:personalReply/>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rsid w:val="00D5459E"/>
    <w:rPr>
      <w:szCs w:val="20"/>
    </w:rPr>
  </w:style>
  <w:style w:type="character" w:customStyle="1" w:styleId="EndnoteTextChar">
    <w:name w:val="Endnote Text Char"/>
    <w:basedOn w:val="DefaultParagraphFont"/>
    <w:link w:val="EndnoteText"/>
    <w:rsid w:val="00D5459E"/>
    <w:rPr>
      <w:rFonts w:ascii="Arial" w:hAnsi="Arial" w:cs="Arial"/>
    </w:rPr>
  </w:style>
  <w:style w:type="character" w:styleId="EndnoteReference">
    <w:name w:val="endnote reference"/>
    <w:basedOn w:val="DefaultParagraphFont"/>
    <w:uiPriority w:val="99"/>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981831"/>
    <w:rPr>
      <w:b/>
      <w:bCs/>
      <w:strike w:val="0"/>
      <w:dstrike w:val="0"/>
      <w:color w:val="145DA4"/>
      <w:spacing w:val="2"/>
      <w:sz w:val="24"/>
      <w:szCs w:val="24"/>
      <w:u w:val="non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9FDC-E4DD-4588-A1C3-5AD4A47A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3347</Words>
  <Characters>19686</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SAMPLE FINANCIAL STATEMENT OPINIONS</vt:lpstr>
    </vt:vector>
  </TitlesOfParts>
  <Company>Auditor of State of Ohio</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FINANCIAL STATEMENT OPINIONS</dc:title>
  <dc:subject/>
  <dc:creator>Administrator</dc:creator>
  <cp:keywords/>
  <dc:description/>
  <cp:lastModifiedBy>Rhonda L. Kline</cp:lastModifiedBy>
  <cp:revision>2</cp:revision>
  <cp:lastPrinted>2011-10-10T14:02:00Z</cp:lastPrinted>
  <dcterms:created xsi:type="dcterms:W3CDTF">2012-01-13T20:12:00Z</dcterms:created>
  <dcterms:modified xsi:type="dcterms:W3CDTF">2012-01-13T20:12:00Z</dcterms:modified>
</cp:coreProperties>
</file>